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12" w:rsidRPr="0075206A" w:rsidRDefault="00A75212" w:rsidP="00305BAB">
      <w:pPr>
        <w:jc w:val="center"/>
        <w:rPr>
          <w:rFonts w:cs="Times New Roman"/>
          <w:b/>
          <w:sz w:val="32"/>
          <w:szCs w:val="28"/>
        </w:rPr>
      </w:pPr>
      <w:r w:rsidRPr="0075206A">
        <w:rPr>
          <w:rFonts w:cs="Times New Roman"/>
          <w:b/>
          <w:sz w:val="32"/>
          <w:szCs w:val="28"/>
        </w:rPr>
        <w:t>Thuốc kháng virus PF-07321332/Ritonavir trong điều trị COVID-19</w:t>
      </w:r>
    </w:p>
    <w:p w:rsidR="00A75212" w:rsidRPr="00CC042E" w:rsidRDefault="00A75212" w:rsidP="00305BAB">
      <w:pPr>
        <w:jc w:val="right"/>
        <w:rPr>
          <w:rFonts w:cs="Times New Roman"/>
          <w:i/>
          <w:sz w:val="28"/>
          <w:szCs w:val="28"/>
        </w:rPr>
      </w:pPr>
      <w:r w:rsidRPr="00CC042E">
        <w:rPr>
          <w:rFonts w:cs="Times New Roman"/>
          <w:sz w:val="28"/>
          <w:szCs w:val="28"/>
        </w:rPr>
        <w:t xml:space="preserve"> </w:t>
      </w:r>
      <w:r w:rsidRPr="00CC042E">
        <w:rPr>
          <w:rFonts w:cs="Times New Roman"/>
          <w:i/>
          <w:sz w:val="28"/>
          <w:szCs w:val="28"/>
        </w:rPr>
        <w:t>DS. Nguyễn Vũ Ngọc Nhi</w:t>
      </w:r>
    </w:p>
    <w:p w:rsidR="00A75212" w:rsidRPr="00CC042E" w:rsidRDefault="00A75212" w:rsidP="00305BAB">
      <w:pPr>
        <w:jc w:val="both"/>
        <w:rPr>
          <w:rFonts w:cs="Times New Roman"/>
          <w:b/>
          <w:i/>
          <w:sz w:val="28"/>
          <w:szCs w:val="28"/>
        </w:rPr>
      </w:pPr>
      <w:r w:rsidRPr="00CC042E">
        <w:rPr>
          <w:rFonts w:cs="Times New Roman"/>
          <w:b/>
          <w:i/>
          <w:sz w:val="28"/>
          <w:szCs w:val="28"/>
        </w:rPr>
        <w:t>Tóm tắt:</w:t>
      </w:r>
    </w:p>
    <w:p w:rsidR="00A75212" w:rsidRDefault="00A75212" w:rsidP="00305BAB">
      <w:pPr>
        <w:jc w:val="both"/>
        <w:rPr>
          <w:rFonts w:cs="Times New Roman"/>
          <w:i/>
          <w:sz w:val="28"/>
          <w:szCs w:val="28"/>
        </w:rPr>
      </w:pPr>
      <w:r w:rsidRPr="00CC042E">
        <w:rPr>
          <w:rFonts w:cs="Times New Roman"/>
          <w:b/>
          <w:i/>
          <w:sz w:val="28"/>
          <w:szCs w:val="28"/>
        </w:rPr>
        <w:t>Đặt vấn đề:</w:t>
      </w:r>
      <w:r w:rsidRPr="00CC042E">
        <w:rPr>
          <w:rFonts w:cs="Times New Roman"/>
          <w:i/>
          <w:sz w:val="28"/>
          <w:szCs w:val="28"/>
        </w:rPr>
        <w:t xml:space="preserve">  PF-07321332/Ritonavir là một loại thuốc kháng virus đường uống được phát triển gần đây dưới tên thương mại PAXLOVID™ của hãng Pfizer, thuốc đang được tiến hành thử nghiệm lâm sàng giai đoạn 2/3 trong điều trị COVID-19. Bài viết này tiến hành một đánh giá có hệ thống các tài liệu để tìm hiểu </w:t>
      </w:r>
      <w:r w:rsidR="005D316D" w:rsidRPr="00CC042E">
        <w:rPr>
          <w:rFonts w:cs="Times New Roman"/>
          <w:i/>
          <w:sz w:val="28"/>
          <w:szCs w:val="28"/>
        </w:rPr>
        <w:t>hoạt tính kháng virus</w:t>
      </w:r>
      <w:r w:rsidRPr="00CC042E">
        <w:rPr>
          <w:rFonts w:cs="Times New Roman"/>
          <w:i/>
          <w:sz w:val="28"/>
          <w:szCs w:val="28"/>
        </w:rPr>
        <w:t xml:space="preserve"> của PF-07321332/Ritonavir trên bệnh nhân COVID-19.</w:t>
      </w:r>
    </w:p>
    <w:p w:rsidR="00A75212" w:rsidRDefault="00A75212" w:rsidP="00305BAB">
      <w:pPr>
        <w:jc w:val="both"/>
        <w:rPr>
          <w:rFonts w:cs="Times New Roman"/>
          <w:i/>
          <w:sz w:val="28"/>
          <w:szCs w:val="28"/>
        </w:rPr>
      </w:pPr>
      <w:r w:rsidRPr="00CC042E">
        <w:rPr>
          <w:rFonts w:cs="Times New Roman"/>
          <w:b/>
          <w:i/>
          <w:sz w:val="28"/>
          <w:szCs w:val="28"/>
        </w:rPr>
        <w:t>Phương pháp:</w:t>
      </w:r>
      <w:r w:rsidRPr="00CC042E">
        <w:rPr>
          <w:rFonts w:cs="Times New Roman"/>
          <w:i/>
          <w:sz w:val="28"/>
          <w:szCs w:val="28"/>
        </w:rPr>
        <w:t xml:space="preserve"> Chúng tôi tìm kiếm một cách có hệ thống cơ sở dữ liệu điện tử của PubMed và Google Scholar cập nhật cho đến ngày 11 tháng 11 năm 2021. Các thử nghiệm đã và đang tiến hành về PF-07321332/Ritonavir trong điều trị COVID-19 cũng được tìm kiếm thêm từ ClinicalTrials.Gov. Bài viết được xem xét và tổng hợp một cách tường thuật.</w:t>
      </w:r>
    </w:p>
    <w:p w:rsidR="00A75212" w:rsidRPr="00CC042E" w:rsidRDefault="00A75212" w:rsidP="00305BAB">
      <w:pPr>
        <w:jc w:val="both"/>
        <w:rPr>
          <w:rFonts w:cs="Times New Roman"/>
          <w:i/>
          <w:sz w:val="28"/>
          <w:szCs w:val="28"/>
        </w:rPr>
      </w:pPr>
      <w:r w:rsidRPr="00CC042E">
        <w:rPr>
          <w:rFonts w:cs="Times New Roman"/>
          <w:b/>
          <w:i/>
          <w:sz w:val="28"/>
          <w:szCs w:val="28"/>
        </w:rPr>
        <w:t>Kết quả:</w:t>
      </w:r>
      <w:r w:rsidRPr="00CC042E">
        <w:rPr>
          <w:rFonts w:cs="Times New Roman"/>
          <w:i/>
          <w:sz w:val="28"/>
          <w:szCs w:val="28"/>
        </w:rPr>
        <w:t xml:space="preserve"> </w:t>
      </w:r>
      <w:r w:rsidR="00F90F78" w:rsidRPr="00CC042E">
        <w:rPr>
          <w:rFonts w:cs="Times New Roman"/>
          <w:i/>
          <w:sz w:val="28"/>
          <w:szCs w:val="28"/>
        </w:rPr>
        <w:t>Nghiên cứ</w:t>
      </w:r>
      <w:r w:rsidR="0093758C" w:rsidRPr="00CC042E">
        <w:rPr>
          <w:rFonts w:cs="Times New Roman"/>
          <w:i/>
          <w:sz w:val="28"/>
          <w:szCs w:val="28"/>
        </w:rPr>
        <w:t xml:space="preserve">u in vitro và in vivo cho thấy PF-07321332 có tác dụng </w:t>
      </w:r>
      <w:r w:rsidR="00B13CC3" w:rsidRPr="00CC042E">
        <w:rPr>
          <w:rFonts w:cs="Times New Roman"/>
          <w:i/>
          <w:sz w:val="28"/>
          <w:szCs w:val="28"/>
        </w:rPr>
        <w:t xml:space="preserve">ức chế sự nhân lên của SARS-CoV-2, giảm tải lượng vi rút và có </w:t>
      </w:r>
      <w:r w:rsidR="00B13CC3" w:rsidRPr="00E5774D">
        <w:rPr>
          <w:rFonts w:cs="Times New Roman"/>
          <w:i/>
          <w:sz w:val="28"/>
          <w:szCs w:val="28"/>
        </w:rPr>
        <w:t>tác dụng bảo vệ</w:t>
      </w:r>
      <w:r w:rsidR="00B13CC3" w:rsidRPr="00CC042E">
        <w:rPr>
          <w:rFonts w:cs="Times New Roman"/>
          <w:i/>
          <w:sz w:val="28"/>
          <w:szCs w:val="28"/>
        </w:rPr>
        <w:t xml:space="preserve"> ở động vật bị nhiễm SARSCoV-2. PF-07321332 cũng làm giảm tình trạng bệnh và cải thiện các tổn thương phổi ở động vật nhiễm SARS-CoV-2. </w:t>
      </w:r>
      <w:r w:rsidR="004E4510" w:rsidRPr="00CC042E">
        <w:rPr>
          <w:rFonts w:cs="Times New Roman"/>
          <w:i/>
          <w:sz w:val="28"/>
          <w:szCs w:val="28"/>
        </w:rPr>
        <w:t>D</w:t>
      </w:r>
      <w:r w:rsidRPr="00CC042E">
        <w:rPr>
          <w:rFonts w:cs="Times New Roman"/>
          <w:i/>
          <w:sz w:val="28"/>
          <w:szCs w:val="28"/>
        </w:rPr>
        <w:t xml:space="preserve">ữ liệu tạm thời của giai đoạn </w:t>
      </w:r>
      <w:r w:rsidR="00B13CC3" w:rsidRPr="00CC042E">
        <w:rPr>
          <w:rFonts w:cs="Times New Roman"/>
          <w:i/>
          <w:sz w:val="28"/>
          <w:szCs w:val="28"/>
        </w:rPr>
        <w:t>giai đoạn 1 cho thấy PF-07321332 an toàn và d</w:t>
      </w:r>
      <w:r w:rsidR="004E4510" w:rsidRPr="00CC042E">
        <w:rPr>
          <w:rFonts w:cs="Times New Roman"/>
          <w:i/>
          <w:sz w:val="28"/>
          <w:szCs w:val="28"/>
        </w:rPr>
        <w:t>u</w:t>
      </w:r>
      <w:r w:rsidR="00B13CC3" w:rsidRPr="00CC042E">
        <w:rPr>
          <w:rFonts w:cs="Times New Roman"/>
          <w:i/>
          <w:sz w:val="28"/>
          <w:szCs w:val="28"/>
        </w:rPr>
        <w:t xml:space="preserve">ng nạp tốt,  dữ liệu tạm thời của giai đoạn </w:t>
      </w:r>
      <w:r w:rsidRPr="00CC042E">
        <w:rPr>
          <w:rFonts w:cs="Times New Roman"/>
          <w:i/>
          <w:sz w:val="28"/>
          <w:szCs w:val="28"/>
        </w:rPr>
        <w:t>2/3 EPIC-HR cho thấy nguy cơ nhập viện hoặc số tử vong liên quan đến COVID-19 từ bất kỳ nguyên nhân nào giảm 89% so với giả dược ở những bệnh nhân được điều trị trong vòng 3 ngày kể từ khi triệu chứng xuất hiệ</w:t>
      </w:r>
      <w:r w:rsidR="00FF6CDA">
        <w:rPr>
          <w:rFonts w:cs="Times New Roman"/>
          <w:i/>
          <w:sz w:val="28"/>
          <w:szCs w:val="28"/>
        </w:rPr>
        <w:t xml:space="preserve">n, </w:t>
      </w:r>
      <w:r w:rsidR="00FF6CDA" w:rsidRPr="00FF6CDA">
        <w:rPr>
          <w:rFonts w:cs="Times New Roman"/>
          <w:i/>
          <w:sz w:val="28"/>
          <w:szCs w:val="28"/>
        </w:rPr>
        <w:t>kết quả tương t</w:t>
      </w:r>
      <w:r w:rsidR="008360F1">
        <w:rPr>
          <w:rFonts w:cs="Times New Roman"/>
          <w:i/>
          <w:sz w:val="28"/>
          <w:szCs w:val="28"/>
        </w:rPr>
        <w:t>ự cũng</w:t>
      </w:r>
      <w:r w:rsidR="00FF6CDA" w:rsidRPr="00FF6CDA">
        <w:rPr>
          <w:rFonts w:cs="Times New Roman"/>
          <w:i/>
          <w:sz w:val="28"/>
          <w:szCs w:val="28"/>
        </w:rPr>
        <w:t xml:space="preserve"> được thấy trong vòng năm ngày kể từ khi bắt đầu có triệu chứng</w:t>
      </w:r>
      <w:r w:rsidR="008360F1">
        <w:rPr>
          <w:rFonts w:cs="Times New Roman"/>
          <w:i/>
          <w:sz w:val="28"/>
          <w:szCs w:val="28"/>
        </w:rPr>
        <w:t>.</w:t>
      </w:r>
    </w:p>
    <w:p w:rsidR="00A75212" w:rsidRDefault="00A75212" w:rsidP="00305BAB">
      <w:pPr>
        <w:jc w:val="both"/>
        <w:rPr>
          <w:rFonts w:cs="Times New Roman"/>
          <w:i/>
          <w:sz w:val="28"/>
          <w:szCs w:val="28"/>
        </w:rPr>
      </w:pPr>
      <w:r w:rsidRPr="00CC042E">
        <w:rPr>
          <w:rFonts w:cs="Times New Roman"/>
          <w:b/>
          <w:i/>
          <w:sz w:val="28"/>
          <w:szCs w:val="28"/>
        </w:rPr>
        <w:t>Kết luận:</w:t>
      </w:r>
      <w:r w:rsidRPr="00CC042E">
        <w:rPr>
          <w:rFonts w:cs="Times New Roman"/>
          <w:i/>
          <w:sz w:val="28"/>
          <w:szCs w:val="28"/>
        </w:rPr>
        <w:t xml:space="preserve"> Mặc dù các kết quả các thử nghiệm</w:t>
      </w:r>
      <w:r w:rsidR="00B13CC3" w:rsidRPr="00CC042E">
        <w:rPr>
          <w:rFonts w:cs="Times New Roman"/>
          <w:i/>
          <w:sz w:val="28"/>
          <w:szCs w:val="28"/>
        </w:rPr>
        <w:t xml:space="preserve"> in vitro, in vivo và</w:t>
      </w:r>
      <w:r w:rsidRPr="00CC042E">
        <w:rPr>
          <w:rFonts w:cs="Times New Roman"/>
          <w:i/>
          <w:sz w:val="28"/>
          <w:szCs w:val="28"/>
        </w:rPr>
        <w:t xml:space="preserve"> lâm sàng ban đầu</w:t>
      </w:r>
      <w:r w:rsidR="00DC39B4" w:rsidRPr="00CC042E">
        <w:rPr>
          <w:rFonts w:cs="Times New Roman"/>
          <w:i/>
          <w:sz w:val="28"/>
          <w:szCs w:val="28"/>
        </w:rPr>
        <w:t xml:space="preserve"> của</w:t>
      </w:r>
      <w:r w:rsidRPr="00CC042E">
        <w:rPr>
          <w:rFonts w:cs="Times New Roman"/>
          <w:i/>
          <w:sz w:val="28"/>
          <w:szCs w:val="28"/>
        </w:rPr>
        <w:t xml:space="preserve"> PF-07321332/Ritonavir cho kết quả tích cực nhưng dữ liệu chính thức chưa được công bố nhiều và chưa có nhiều thử nghiệm được tiến hành. Vì thế cần nhiều thông tin và dữ liệu lâm sàng hơn trong tương lai để kết luận hiệu quả của PF-07321332/Ritonavir trong điều trị COVID-19.</w:t>
      </w:r>
    </w:p>
    <w:p w:rsidR="00AD65B1" w:rsidRPr="00CC042E" w:rsidRDefault="00AD65B1" w:rsidP="00305BAB">
      <w:pPr>
        <w:jc w:val="both"/>
        <w:rPr>
          <w:rFonts w:cs="Times New Roman"/>
          <w:b/>
          <w:i/>
          <w:sz w:val="28"/>
          <w:szCs w:val="28"/>
        </w:rPr>
      </w:pPr>
      <w:r w:rsidRPr="00CC042E">
        <w:rPr>
          <w:rFonts w:cs="Times New Roman"/>
          <w:b/>
          <w:i/>
          <w:sz w:val="28"/>
          <w:szCs w:val="28"/>
        </w:rPr>
        <w:t>Abstract</w:t>
      </w:r>
    </w:p>
    <w:p w:rsidR="00AD65B1" w:rsidRPr="00996578" w:rsidRDefault="00AD65B1" w:rsidP="00305BAB">
      <w:pPr>
        <w:jc w:val="both"/>
        <w:rPr>
          <w:rFonts w:cs="Times New Roman"/>
          <w:i/>
          <w:sz w:val="28"/>
          <w:szCs w:val="28"/>
        </w:rPr>
      </w:pPr>
      <w:r w:rsidRPr="00CC042E">
        <w:rPr>
          <w:rFonts w:cs="Times New Roman"/>
          <w:b/>
          <w:i/>
          <w:sz w:val="28"/>
          <w:szCs w:val="28"/>
        </w:rPr>
        <w:t>Background:</w:t>
      </w:r>
      <w:r w:rsidRPr="00CC042E">
        <w:rPr>
          <w:rFonts w:cs="Times New Roman"/>
          <w:i/>
          <w:sz w:val="28"/>
          <w:szCs w:val="28"/>
        </w:rPr>
        <w:t xml:space="preserve"> </w:t>
      </w:r>
      <w:r w:rsidRPr="00996578">
        <w:rPr>
          <w:rFonts w:cs="Times New Roman"/>
          <w:i/>
          <w:sz w:val="28"/>
          <w:szCs w:val="28"/>
        </w:rPr>
        <w:t>PF-07321332/Ritonavir is a new oral antiviral drug recently developed under the trade name PAXLOVID™ by Pfizer</w:t>
      </w:r>
      <w:r w:rsidR="00223C31" w:rsidRPr="00996578">
        <w:rPr>
          <w:rFonts w:cs="Times New Roman"/>
          <w:i/>
          <w:sz w:val="28"/>
          <w:szCs w:val="28"/>
        </w:rPr>
        <w:t xml:space="preserve">, this drug </w:t>
      </w:r>
      <w:r w:rsidRPr="00996578">
        <w:rPr>
          <w:rFonts w:cs="Times New Roman"/>
          <w:i/>
          <w:sz w:val="28"/>
          <w:szCs w:val="28"/>
        </w:rPr>
        <w:t xml:space="preserve">is undergoing a phase 2/3 clinical trial for the treatment of COVID-19. This review aim to conduct a systematic </w:t>
      </w:r>
      <w:r w:rsidRPr="00996578">
        <w:rPr>
          <w:rFonts w:cs="Times New Roman"/>
          <w:i/>
          <w:sz w:val="28"/>
          <w:szCs w:val="28"/>
        </w:rPr>
        <w:lastRenderedPageBreak/>
        <w:t>review of literature</w:t>
      </w:r>
      <w:r w:rsidR="00223C31" w:rsidRPr="00996578">
        <w:rPr>
          <w:rFonts w:cs="Times New Roman"/>
          <w:i/>
          <w:sz w:val="28"/>
          <w:szCs w:val="28"/>
        </w:rPr>
        <w:t xml:space="preserve"> on</w:t>
      </w:r>
      <w:r w:rsidRPr="00996578">
        <w:rPr>
          <w:rFonts w:cs="Times New Roman"/>
          <w:i/>
          <w:sz w:val="28"/>
          <w:szCs w:val="28"/>
        </w:rPr>
        <w:t xml:space="preserve"> </w:t>
      </w:r>
      <w:r w:rsidR="005D316D" w:rsidRPr="00996578">
        <w:rPr>
          <w:rFonts w:cs="Times New Roman"/>
          <w:i/>
          <w:sz w:val="28"/>
          <w:szCs w:val="28"/>
        </w:rPr>
        <w:t xml:space="preserve">the antiviral activities </w:t>
      </w:r>
      <w:r w:rsidRPr="00996578">
        <w:rPr>
          <w:rFonts w:cs="Times New Roman"/>
          <w:i/>
          <w:sz w:val="28"/>
          <w:szCs w:val="28"/>
        </w:rPr>
        <w:t>of PF-07321332/Ritonavir in patients with COVID-19.</w:t>
      </w:r>
    </w:p>
    <w:p w:rsidR="00AD65B1" w:rsidRPr="00996578" w:rsidRDefault="00AD65B1" w:rsidP="00305BAB">
      <w:pPr>
        <w:jc w:val="both"/>
        <w:rPr>
          <w:rFonts w:cs="Times New Roman"/>
          <w:i/>
          <w:sz w:val="28"/>
          <w:szCs w:val="28"/>
        </w:rPr>
      </w:pPr>
      <w:r w:rsidRPr="00996578">
        <w:rPr>
          <w:rFonts w:cs="Times New Roman"/>
          <w:b/>
          <w:i/>
          <w:sz w:val="28"/>
          <w:szCs w:val="28"/>
        </w:rPr>
        <w:t>Methods:</w:t>
      </w:r>
      <w:r w:rsidRPr="00996578">
        <w:rPr>
          <w:rFonts w:cs="Times New Roman"/>
          <w:i/>
          <w:sz w:val="28"/>
          <w:szCs w:val="28"/>
        </w:rPr>
        <w:t xml:space="preserve"> We systematically sear</w:t>
      </w:r>
      <w:r w:rsidR="006E3E54" w:rsidRPr="00996578">
        <w:rPr>
          <w:rFonts w:cs="Times New Roman"/>
          <w:i/>
          <w:sz w:val="28"/>
          <w:szCs w:val="28"/>
        </w:rPr>
        <w:t xml:space="preserve">ched the electronic database of </w:t>
      </w:r>
      <w:r w:rsidRPr="00996578">
        <w:rPr>
          <w:rFonts w:cs="Times New Roman"/>
          <w:i/>
          <w:sz w:val="28"/>
          <w:szCs w:val="28"/>
        </w:rPr>
        <w:t>PubMed and Goog</w:t>
      </w:r>
      <w:r w:rsidR="009E349D" w:rsidRPr="00996578">
        <w:rPr>
          <w:rFonts w:cs="Times New Roman"/>
          <w:i/>
          <w:sz w:val="28"/>
          <w:szCs w:val="28"/>
        </w:rPr>
        <w:t xml:space="preserve">le Scholar from inception until </w:t>
      </w:r>
      <w:r w:rsidRPr="00996578">
        <w:rPr>
          <w:rFonts w:cs="Times New Roman"/>
          <w:i/>
          <w:sz w:val="28"/>
          <w:szCs w:val="28"/>
        </w:rPr>
        <w:t>November 11, 2021. Trials of molnupiravir in COVID-19 were additionally search</w:t>
      </w:r>
      <w:r w:rsidR="003D410A" w:rsidRPr="00996578">
        <w:rPr>
          <w:rFonts w:cs="Times New Roman"/>
          <w:i/>
          <w:sz w:val="28"/>
          <w:szCs w:val="28"/>
        </w:rPr>
        <w:t xml:space="preserve">ed from the ClinicalTrials.Gov. </w:t>
      </w:r>
      <w:r w:rsidRPr="00996578">
        <w:rPr>
          <w:rFonts w:cs="Times New Roman"/>
          <w:i/>
          <w:sz w:val="28"/>
          <w:szCs w:val="28"/>
        </w:rPr>
        <w:t>We reviewed the results narratively.</w:t>
      </w:r>
    </w:p>
    <w:p w:rsidR="006E3E54" w:rsidRPr="00996578" w:rsidRDefault="006E3E54" w:rsidP="00305BAB">
      <w:pPr>
        <w:jc w:val="both"/>
        <w:rPr>
          <w:rFonts w:cs="Times New Roman"/>
          <w:i/>
          <w:sz w:val="28"/>
          <w:szCs w:val="28"/>
        </w:rPr>
      </w:pPr>
      <w:r w:rsidRPr="00996578">
        <w:rPr>
          <w:rFonts w:cs="Times New Roman"/>
          <w:b/>
          <w:i/>
          <w:sz w:val="28"/>
          <w:szCs w:val="28"/>
        </w:rPr>
        <w:t>Results:</w:t>
      </w:r>
      <w:r w:rsidRPr="00996578">
        <w:rPr>
          <w:rFonts w:cs="Times New Roman"/>
          <w:i/>
          <w:sz w:val="28"/>
          <w:szCs w:val="28"/>
        </w:rPr>
        <w:t xml:space="preserve"> </w:t>
      </w:r>
      <w:r w:rsidR="003C255E" w:rsidRPr="00996578">
        <w:rPr>
          <w:rFonts w:cs="Times New Roman"/>
          <w:i/>
          <w:sz w:val="28"/>
          <w:szCs w:val="28"/>
        </w:rPr>
        <w:t>The in</w:t>
      </w:r>
      <w:r w:rsidR="00223C31" w:rsidRPr="00996578">
        <w:rPr>
          <w:rFonts w:cs="Times New Roman"/>
          <w:i/>
          <w:sz w:val="28"/>
          <w:szCs w:val="28"/>
        </w:rPr>
        <w:t>-</w:t>
      </w:r>
      <w:r w:rsidR="003C255E" w:rsidRPr="00996578">
        <w:rPr>
          <w:rFonts w:cs="Times New Roman"/>
          <w:i/>
          <w:sz w:val="28"/>
          <w:szCs w:val="28"/>
        </w:rPr>
        <w:t>vitro and the in</w:t>
      </w:r>
      <w:r w:rsidR="00223C31" w:rsidRPr="00996578">
        <w:rPr>
          <w:rFonts w:cs="Times New Roman"/>
          <w:i/>
          <w:sz w:val="28"/>
          <w:szCs w:val="28"/>
        </w:rPr>
        <w:t>-</w:t>
      </w:r>
      <w:r w:rsidR="003C255E" w:rsidRPr="00996578">
        <w:rPr>
          <w:rFonts w:cs="Times New Roman"/>
          <w:i/>
          <w:sz w:val="28"/>
          <w:szCs w:val="28"/>
        </w:rPr>
        <w:t>vivo studies have shown that PF-07321332</w:t>
      </w:r>
      <w:r w:rsidRPr="00996578">
        <w:rPr>
          <w:rFonts w:cs="Times New Roman"/>
          <w:i/>
          <w:sz w:val="28"/>
          <w:szCs w:val="28"/>
        </w:rPr>
        <w:t xml:space="preserve"> </w:t>
      </w:r>
      <w:r w:rsidR="003C255E" w:rsidRPr="00996578">
        <w:rPr>
          <w:rFonts w:cs="Times New Roman"/>
          <w:i/>
          <w:sz w:val="28"/>
          <w:szCs w:val="28"/>
        </w:rPr>
        <w:t xml:space="preserve">inhibits SARS-CoV-2 replication, reduces viral load, and exerts protective effects in SARSCoV-2 infected animals. PF-07321332 also reduces the pathological process and improves </w:t>
      </w:r>
      <w:r w:rsidR="004E4510" w:rsidRPr="00996578">
        <w:rPr>
          <w:rFonts w:cs="Times New Roman"/>
          <w:i/>
          <w:sz w:val="28"/>
          <w:szCs w:val="28"/>
        </w:rPr>
        <w:t xml:space="preserve">pulmonary lesions in SARS-CoV-2 </w:t>
      </w:r>
      <w:r w:rsidR="00DC39B4" w:rsidRPr="00996578">
        <w:rPr>
          <w:rFonts w:cs="Times New Roman"/>
          <w:i/>
          <w:sz w:val="28"/>
          <w:szCs w:val="28"/>
        </w:rPr>
        <w:t>infecte</w:t>
      </w:r>
      <w:r w:rsidR="003C255E" w:rsidRPr="00996578">
        <w:rPr>
          <w:rFonts w:cs="Times New Roman"/>
          <w:i/>
          <w:sz w:val="28"/>
          <w:szCs w:val="28"/>
        </w:rPr>
        <w:t xml:space="preserve">d animals. </w:t>
      </w:r>
      <w:r w:rsidR="004E4510" w:rsidRPr="00996578">
        <w:rPr>
          <w:rFonts w:cs="Times New Roman"/>
          <w:i/>
          <w:sz w:val="28"/>
          <w:szCs w:val="28"/>
        </w:rPr>
        <w:t>The published interim phase 1 showed</w:t>
      </w:r>
      <w:r w:rsidRPr="00996578">
        <w:rPr>
          <w:rFonts w:cs="Times New Roman"/>
          <w:i/>
          <w:sz w:val="28"/>
          <w:szCs w:val="28"/>
        </w:rPr>
        <w:t xml:space="preserve"> PF-07</w:t>
      </w:r>
      <w:r w:rsidR="004E4510" w:rsidRPr="00996578">
        <w:rPr>
          <w:rFonts w:cs="Times New Roman"/>
          <w:i/>
          <w:sz w:val="28"/>
          <w:szCs w:val="28"/>
        </w:rPr>
        <w:t>321332 safe and well tolerated, the</w:t>
      </w:r>
      <w:r w:rsidRPr="00996578">
        <w:rPr>
          <w:rFonts w:cs="Times New Roman"/>
          <w:i/>
          <w:sz w:val="28"/>
          <w:szCs w:val="28"/>
        </w:rPr>
        <w:t xml:space="preserve"> interim phase 2/3 EPIC-HR data </w:t>
      </w:r>
      <w:r w:rsidR="003D410A" w:rsidRPr="00996578">
        <w:rPr>
          <w:rFonts w:cs="Times New Roman"/>
          <w:i/>
          <w:sz w:val="28"/>
          <w:szCs w:val="28"/>
        </w:rPr>
        <w:t>showed an 89% reduction in risk of COVID-19-related</w:t>
      </w:r>
      <w:r w:rsidR="00D47FE6" w:rsidRPr="00996578">
        <w:rPr>
          <w:rFonts w:cs="Times New Roman"/>
          <w:i/>
          <w:sz w:val="28"/>
          <w:szCs w:val="28"/>
        </w:rPr>
        <w:t xml:space="preserve"> </w:t>
      </w:r>
      <w:r w:rsidR="003D410A" w:rsidRPr="00996578">
        <w:rPr>
          <w:rFonts w:cs="Times New Roman"/>
          <w:i/>
          <w:sz w:val="28"/>
          <w:szCs w:val="28"/>
        </w:rPr>
        <w:t>hospitalization or death from any cause compared to placebo in patients treated wit</w:t>
      </w:r>
      <w:r w:rsidR="008360F1" w:rsidRPr="00996578">
        <w:rPr>
          <w:rFonts w:cs="Times New Roman"/>
          <w:i/>
          <w:sz w:val="28"/>
          <w:szCs w:val="28"/>
        </w:rPr>
        <w:t>hin three days of symptom onset</w:t>
      </w:r>
      <w:r w:rsidR="00996578" w:rsidRPr="00996578">
        <w:rPr>
          <w:rFonts w:cs="Times New Roman"/>
          <w:i/>
          <w:sz w:val="28"/>
          <w:szCs w:val="28"/>
        </w:rPr>
        <w:t xml:space="preserve">, </w:t>
      </w:r>
      <w:r w:rsidR="008360F1" w:rsidRPr="00996578">
        <w:rPr>
          <w:rFonts w:cs="Times New Roman"/>
          <w:i/>
          <w:sz w:val="28"/>
          <w:szCs w:val="28"/>
        </w:rPr>
        <w:t xml:space="preserve"> similar results seen within five days of symptom onset.</w:t>
      </w:r>
    </w:p>
    <w:p w:rsidR="006E3E54" w:rsidRPr="00CC042E" w:rsidRDefault="006E3E54" w:rsidP="00305BAB">
      <w:pPr>
        <w:jc w:val="both"/>
        <w:rPr>
          <w:rFonts w:cs="Times New Roman"/>
          <w:i/>
          <w:sz w:val="28"/>
          <w:szCs w:val="28"/>
        </w:rPr>
      </w:pPr>
      <w:r w:rsidRPr="00996578">
        <w:rPr>
          <w:rFonts w:cs="Times New Roman"/>
          <w:b/>
          <w:i/>
          <w:sz w:val="28"/>
          <w:szCs w:val="28"/>
        </w:rPr>
        <w:t>Conclusions:</w:t>
      </w:r>
      <w:r w:rsidRPr="00996578">
        <w:rPr>
          <w:rFonts w:cs="Times New Roman"/>
          <w:i/>
          <w:sz w:val="28"/>
          <w:szCs w:val="28"/>
        </w:rPr>
        <w:t xml:space="preserve"> Although the results of the</w:t>
      </w:r>
      <w:r w:rsidR="00B13CC3" w:rsidRPr="00996578">
        <w:rPr>
          <w:rFonts w:cs="Times New Roman"/>
          <w:i/>
          <w:sz w:val="28"/>
          <w:szCs w:val="28"/>
        </w:rPr>
        <w:t xml:space="preserve"> in</w:t>
      </w:r>
      <w:r w:rsidR="00D35970" w:rsidRPr="00996578">
        <w:rPr>
          <w:rFonts w:cs="Times New Roman"/>
          <w:i/>
          <w:sz w:val="28"/>
          <w:szCs w:val="28"/>
        </w:rPr>
        <w:t>-</w:t>
      </w:r>
      <w:r w:rsidR="00B13CC3" w:rsidRPr="00996578">
        <w:rPr>
          <w:rFonts w:cs="Times New Roman"/>
          <w:i/>
          <w:sz w:val="28"/>
          <w:szCs w:val="28"/>
        </w:rPr>
        <w:t>vitro, the in</w:t>
      </w:r>
      <w:r w:rsidR="00D35970" w:rsidRPr="00996578">
        <w:rPr>
          <w:rFonts w:cs="Times New Roman"/>
          <w:i/>
          <w:sz w:val="28"/>
          <w:szCs w:val="28"/>
        </w:rPr>
        <w:t>-</w:t>
      </w:r>
      <w:r w:rsidR="00B13CC3" w:rsidRPr="00996578">
        <w:rPr>
          <w:rFonts w:cs="Times New Roman"/>
          <w:i/>
          <w:sz w:val="28"/>
          <w:szCs w:val="28"/>
        </w:rPr>
        <w:t>vivo, and the</w:t>
      </w:r>
      <w:r w:rsidRPr="00996578">
        <w:rPr>
          <w:rFonts w:cs="Times New Roman"/>
          <w:i/>
          <w:sz w:val="28"/>
          <w:szCs w:val="28"/>
        </w:rPr>
        <w:t xml:space="preserve"> initial clinical trials of PF-07321332/Ritonavir were positive, there are not many published official data and not many trials have been conducted. Therefore, more information and clinical data are needed in the futur</w:t>
      </w:r>
      <w:r w:rsidR="000652D7" w:rsidRPr="00996578">
        <w:rPr>
          <w:rFonts w:cs="Times New Roman"/>
          <w:i/>
          <w:sz w:val="28"/>
          <w:szCs w:val="28"/>
        </w:rPr>
        <w:t xml:space="preserve">e to conclude the </w:t>
      </w:r>
      <w:r w:rsidR="00D35970" w:rsidRPr="00996578">
        <w:rPr>
          <w:rFonts w:cs="Times New Roman"/>
          <w:i/>
          <w:sz w:val="28"/>
          <w:szCs w:val="28"/>
        </w:rPr>
        <w:t xml:space="preserve">efficacy </w:t>
      </w:r>
      <w:r w:rsidRPr="00996578">
        <w:rPr>
          <w:rFonts w:cs="Times New Roman"/>
          <w:i/>
          <w:sz w:val="28"/>
          <w:szCs w:val="28"/>
        </w:rPr>
        <w:t>of PF-07321332/Ritonavir in the treatment of COVID-19.</w:t>
      </w:r>
    </w:p>
    <w:p w:rsidR="00655200" w:rsidRPr="00CC042E" w:rsidRDefault="00655200" w:rsidP="00381E74">
      <w:pPr>
        <w:pStyle w:val="ListParagraph"/>
        <w:numPr>
          <w:ilvl w:val="0"/>
          <w:numId w:val="16"/>
        </w:numPr>
        <w:jc w:val="both"/>
        <w:rPr>
          <w:rFonts w:cs="Times New Roman"/>
          <w:b/>
          <w:sz w:val="28"/>
          <w:szCs w:val="28"/>
        </w:rPr>
      </w:pPr>
      <w:r w:rsidRPr="00CC042E">
        <w:rPr>
          <w:rFonts w:cs="Times New Roman"/>
          <w:b/>
          <w:sz w:val="28"/>
          <w:szCs w:val="28"/>
        </w:rPr>
        <w:t>Mở đầu</w:t>
      </w:r>
      <w:r w:rsidR="0016006D" w:rsidRPr="00CC042E">
        <w:rPr>
          <w:rFonts w:cs="Times New Roman"/>
          <w:b/>
          <w:sz w:val="28"/>
          <w:szCs w:val="28"/>
        </w:rPr>
        <w:t xml:space="preserve"> </w:t>
      </w:r>
    </w:p>
    <w:p w:rsidR="00785C31" w:rsidRPr="00CC042E" w:rsidRDefault="00386077" w:rsidP="00820A72">
      <w:pPr>
        <w:ind w:firstLine="720"/>
        <w:contextualSpacing/>
        <w:jc w:val="both"/>
        <w:rPr>
          <w:rFonts w:cs="Times New Roman"/>
          <w:sz w:val="28"/>
          <w:szCs w:val="28"/>
        </w:rPr>
      </w:pPr>
      <w:r w:rsidRPr="00CC042E">
        <w:rPr>
          <w:rFonts w:cs="Times New Roman"/>
          <w:sz w:val="28"/>
          <w:szCs w:val="28"/>
        </w:rPr>
        <w:t>COVID-19</w:t>
      </w:r>
      <w:r w:rsidR="00AA435A" w:rsidRPr="00CC042E">
        <w:rPr>
          <w:rFonts w:cs="Times New Roman"/>
          <w:sz w:val="28"/>
          <w:szCs w:val="28"/>
        </w:rPr>
        <w:t xml:space="preserve"> là một bệnh truyền nhiễm do vi rút SARS-CoV-2 gây ra.</w:t>
      </w:r>
      <w:r w:rsidRPr="00CC042E">
        <w:rPr>
          <w:rFonts w:cs="Times New Roman"/>
          <w:sz w:val="28"/>
          <w:szCs w:val="28"/>
        </w:rPr>
        <w:t xml:space="preserve"> </w:t>
      </w:r>
      <w:r w:rsidR="00AA435A" w:rsidRPr="00CC042E">
        <w:rPr>
          <w:rFonts w:cs="Times New Roman"/>
          <w:sz w:val="28"/>
          <w:szCs w:val="28"/>
        </w:rPr>
        <w:t xml:space="preserve">Hầu hết những người bị nhiễm vi rút sẽ bị bệnh </w:t>
      </w:r>
      <w:r w:rsidR="00C4391F">
        <w:rPr>
          <w:rFonts w:cs="Times New Roman"/>
          <w:sz w:val="28"/>
          <w:szCs w:val="28"/>
        </w:rPr>
        <w:t xml:space="preserve">trên </w:t>
      </w:r>
      <w:r w:rsidR="00AA435A" w:rsidRPr="00CC042E">
        <w:rPr>
          <w:rFonts w:cs="Times New Roman"/>
          <w:sz w:val="28"/>
          <w:szCs w:val="28"/>
        </w:rPr>
        <w:t>đường hô hấp nhẹ đến trung bình và tự khỏi mà không cần điều trị. Tuy nhiên, một số sẽ</w:t>
      </w:r>
      <w:r w:rsidR="00803930" w:rsidRPr="00CC042E">
        <w:rPr>
          <w:rFonts w:cs="Times New Roman"/>
          <w:sz w:val="28"/>
          <w:szCs w:val="28"/>
        </w:rPr>
        <w:t xml:space="preserve"> trở nặng</w:t>
      </w:r>
      <w:r w:rsidR="00AA435A" w:rsidRPr="00CC042E">
        <w:rPr>
          <w:rFonts w:cs="Times New Roman"/>
          <w:sz w:val="28"/>
          <w:szCs w:val="28"/>
        </w:rPr>
        <w:t xml:space="preserve"> và cầ</w:t>
      </w:r>
      <w:r w:rsidR="00785C31" w:rsidRPr="00CC042E">
        <w:rPr>
          <w:rFonts w:cs="Times New Roman"/>
          <w:sz w:val="28"/>
          <w:szCs w:val="28"/>
        </w:rPr>
        <w:t>n nhập viện</w:t>
      </w:r>
      <w:r w:rsidR="00AA435A" w:rsidRPr="00CC042E">
        <w:rPr>
          <w:rFonts w:cs="Times New Roman"/>
          <w:sz w:val="28"/>
          <w:szCs w:val="28"/>
        </w:rPr>
        <w:t>. Những người lớn tuổi và những người có bệ</w:t>
      </w:r>
      <w:r w:rsidR="00803930" w:rsidRPr="00CC042E">
        <w:rPr>
          <w:rFonts w:cs="Times New Roman"/>
          <w:sz w:val="28"/>
          <w:szCs w:val="28"/>
        </w:rPr>
        <w:t>nh lý nền</w:t>
      </w:r>
      <w:r w:rsidR="00AA435A" w:rsidRPr="00CC042E">
        <w:rPr>
          <w:rFonts w:cs="Times New Roman"/>
          <w:sz w:val="28"/>
          <w:szCs w:val="28"/>
        </w:rPr>
        <w:t xml:space="preserve"> như bệnh tim mạch, tiểu đường, bệnh hô hấp mãn tính hoặc ung thư có nhiều khả năng </w:t>
      </w:r>
      <w:r w:rsidR="00D156F9" w:rsidRPr="00CC042E">
        <w:rPr>
          <w:rFonts w:cs="Times New Roman"/>
          <w:sz w:val="28"/>
          <w:szCs w:val="28"/>
        </w:rPr>
        <w:t>tiến triển</w:t>
      </w:r>
      <w:r w:rsidR="00AA435A" w:rsidRPr="00CC042E">
        <w:rPr>
          <w:rFonts w:cs="Times New Roman"/>
          <w:sz w:val="28"/>
          <w:szCs w:val="28"/>
        </w:rPr>
        <w:t xml:space="preserve"> bệnh nghiêm trọng hơn. </w:t>
      </w:r>
      <w:r w:rsidR="00C611B3">
        <w:rPr>
          <w:rFonts w:cs="Times New Roman"/>
          <w:sz w:val="28"/>
          <w:szCs w:val="28"/>
        </w:rPr>
        <w:t>[</w:t>
      </w:r>
      <w:r w:rsidR="005D79B7">
        <w:rPr>
          <w:rFonts w:cs="Times New Roman"/>
          <w:sz w:val="28"/>
          <w:szCs w:val="28"/>
        </w:rPr>
        <w:t>23</w:t>
      </w:r>
      <w:r w:rsidR="00C611B3">
        <w:rPr>
          <w:rFonts w:cs="Times New Roman"/>
          <w:sz w:val="28"/>
          <w:szCs w:val="28"/>
        </w:rPr>
        <w:t>]</w:t>
      </w:r>
      <w:r w:rsidR="000652D7">
        <w:rPr>
          <w:rFonts w:cs="Times New Roman"/>
          <w:sz w:val="28"/>
          <w:szCs w:val="28"/>
        </w:rPr>
        <w:t xml:space="preserve"> </w:t>
      </w:r>
      <w:r w:rsidR="00785C31" w:rsidRPr="00CC042E">
        <w:rPr>
          <w:rFonts w:cs="Times New Roman"/>
          <w:sz w:val="28"/>
          <w:szCs w:val="28"/>
        </w:rPr>
        <w:t xml:space="preserve">Tuy việc sản xuất nhanh chóng vắc xin COVID-19 đã là một nỗ lực khoa học đáng kinh ngạc nhưng </w:t>
      </w:r>
      <w:r w:rsidR="004B4364" w:rsidRPr="00CC042E">
        <w:rPr>
          <w:rFonts w:cs="Times New Roman"/>
          <w:sz w:val="28"/>
          <w:szCs w:val="28"/>
        </w:rPr>
        <w:t>việc kiểm soát SARS-CoV-2 cho thấy còn khó kh</w:t>
      </w:r>
      <w:r w:rsidR="00785C31" w:rsidRPr="00CC042E">
        <w:rPr>
          <w:rFonts w:cs="Times New Roman"/>
          <w:sz w:val="28"/>
          <w:szCs w:val="28"/>
        </w:rPr>
        <w:t>ăn</w:t>
      </w:r>
      <w:r w:rsidR="004B4364" w:rsidRPr="00CC042E">
        <w:rPr>
          <w:rFonts w:cs="Times New Roman"/>
          <w:sz w:val="28"/>
          <w:szCs w:val="28"/>
        </w:rPr>
        <w:t xml:space="preserve"> vì một số lý do, bao gồm tình trạng thiếu nguồn cung cấp vắc xin ở các nước có thu nhập thấp và trung bình, do dự về vắc xin sự xuất hiện của các biến thể mới</w:t>
      </w:r>
      <w:r w:rsidR="00785C31" w:rsidRPr="00CC042E">
        <w:rPr>
          <w:rFonts w:cs="Times New Roman"/>
          <w:sz w:val="28"/>
          <w:szCs w:val="28"/>
        </w:rPr>
        <w:t>.[</w:t>
      </w:r>
      <w:r w:rsidR="005D79B7">
        <w:rPr>
          <w:rFonts w:cs="Times New Roman"/>
          <w:sz w:val="28"/>
          <w:szCs w:val="28"/>
        </w:rPr>
        <w:t>17</w:t>
      </w:r>
      <w:r w:rsidR="00785C31" w:rsidRPr="00CC042E">
        <w:rPr>
          <w:rFonts w:cs="Times New Roman"/>
          <w:sz w:val="28"/>
          <w:szCs w:val="28"/>
        </w:rPr>
        <w:t xml:space="preserve">] Vì thế </w:t>
      </w:r>
      <w:r w:rsidR="00AC6116" w:rsidRPr="00CC042E">
        <w:rPr>
          <w:rFonts w:cs="Times New Roman"/>
          <w:sz w:val="28"/>
          <w:szCs w:val="28"/>
        </w:rPr>
        <w:t xml:space="preserve">không thể phụ thuộc vào hiệu quả của vắc xin, </w:t>
      </w:r>
      <w:r w:rsidR="00785C31" w:rsidRPr="00CC042E">
        <w:rPr>
          <w:rFonts w:cs="Times New Roman"/>
          <w:sz w:val="28"/>
          <w:szCs w:val="28"/>
        </w:rPr>
        <w:t>các thuốc</w:t>
      </w:r>
      <w:r w:rsidR="004B4364" w:rsidRPr="00CC042E">
        <w:rPr>
          <w:rFonts w:cs="Times New Roman"/>
          <w:sz w:val="28"/>
          <w:szCs w:val="28"/>
        </w:rPr>
        <w:t xml:space="preserve"> điều trị bệ</w:t>
      </w:r>
      <w:r w:rsidR="00AC6116" w:rsidRPr="00CC042E">
        <w:rPr>
          <w:rFonts w:cs="Times New Roman"/>
          <w:sz w:val="28"/>
          <w:szCs w:val="28"/>
        </w:rPr>
        <w:t>nh COVID-19</w:t>
      </w:r>
      <w:r w:rsidR="004B4364" w:rsidRPr="00CC042E">
        <w:rPr>
          <w:rFonts w:cs="Times New Roman"/>
          <w:sz w:val="28"/>
          <w:szCs w:val="28"/>
        </w:rPr>
        <w:t xml:space="preserve"> rất cần thiết. </w:t>
      </w:r>
    </w:p>
    <w:p w:rsidR="004B4364" w:rsidRPr="00CC042E" w:rsidRDefault="004B4364" w:rsidP="00820A72">
      <w:pPr>
        <w:ind w:firstLine="720"/>
        <w:contextualSpacing/>
        <w:jc w:val="both"/>
        <w:rPr>
          <w:rFonts w:cs="Times New Roman"/>
          <w:sz w:val="28"/>
          <w:szCs w:val="28"/>
        </w:rPr>
      </w:pPr>
      <w:r w:rsidRPr="00CC042E">
        <w:rPr>
          <w:rFonts w:cs="Times New Roman"/>
          <w:sz w:val="28"/>
          <w:szCs w:val="28"/>
        </w:rPr>
        <w:t>Hiện tại, chỉ có một loại thuố</w:t>
      </w:r>
      <w:r w:rsidR="000652D7">
        <w:rPr>
          <w:rFonts w:cs="Times New Roman"/>
          <w:sz w:val="28"/>
          <w:szCs w:val="28"/>
        </w:rPr>
        <w:t>c kháng virus</w:t>
      </w:r>
      <w:r w:rsidR="00EB2AD2" w:rsidRPr="00CC042E">
        <w:rPr>
          <w:rFonts w:cs="Times New Roman"/>
          <w:sz w:val="28"/>
          <w:szCs w:val="28"/>
        </w:rPr>
        <w:t xml:space="preserve"> (R</w:t>
      </w:r>
      <w:r w:rsidRPr="00CC042E">
        <w:rPr>
          <w:rFonts w:cs="Times New Roman"/>
          <w:sz w:val="28"/>
          <w:szCs w:val="28"/>
        </w:rPr>
        <w:t xml:space="preserve">emdesivir) được </w:t>
      </w:r>
      <w:r w:rsidR="008313FB" w:rsidRPr="00CC042E">
        <w:rPr>
          <w:rFonts w:cs="Times New Roman"/>
          <w:sz w:val="28"/>
          <w:szCs w:val="28"/>
        </w:rPr>
        <w:t xml:space="preserve">FDA </w:t>
      </w:r>
      <w:r w:rsidRPr="00CC042E">
        <w:rPr>
          <w:rFonts w:cs="Times New Roman"/>
          <w:sz w:val="28"/>
          <w:szCs w:val="28"/>
        </w:rPr>
        <w:t>chấp thuận để điều trị</w:t>
      </w:r>
      <w:r w:rsidR="008313FB" w:rsidRPr="00CC042E">
        <w:rPr>
          <w:rFonts w:cs="Times New Roman"/>
          <w:sz w:val="28"/>
          <w:szCs w:val="28"/>
        </w:rPr>
        <w:t xml:space="preserve"> COVID-19</w:t>
      </w:r>
      <w:r w:rsidR="00386077" w:rsidRPr="00CC042E">
        <w:rPr>
          <w:rFonts w:cs="Times New Roman"/>
          <w:sz w:val="28"/>
          <w:szCs w:val="28"/>
        </w:rPr>
        <w:t xml:space="preserve"> và thuốc này cũng được Bộ Y tế cho phép sử dụng tại Việt Nam</w:t>
      </w:r>
      <w:r w:rsidRPr="00CC042E">
        <w:rPr>
          <w:rFonts w:cs="Times New Roman"/>
          <w:sz w:val="28"/>
          <w:szCs w:val="28"/>
        </w:rPr>
        <w:t xml:space="preserve">. </w:t>
      </w:r>
      <w:r w:rsidR="00D01959" w:rsidRPr="00CC042E">
        <w:rPr>
          <w:rFonts w:cs="Times New Roman"/>
          <w:sz w:val="28"/>
          <w:szCs w:val="28"/>
        </w:rPr>
        <w:t>[</w:t>
      </w:r>
      <w:r w:rsidR="005D79B7">
        <w:rPr>
          <w:rFonts w:cs="Times New Roman"/>
          <w:sz w:val="28"/>
          <w:szCs w:val="28"/>
        </w:rPr>
        <w:t>1</w:t>
      </w:r>
      <w:r w:rsidR="00D01959" w:rsidRPr="00CC042E">
        <w:rPr>
          <w:rFonts w:cs="Times New Roman"/>
          <w:sz w:val="28"/>
          <w:szCs w:val="28"/>
        </w:rPr>
        <w:t>]</w:t>
      </w:r>
      <w:r w:rsidR="00386077" w:rsidRPr="00CC042E">
        <w:rPr>
          <w:rFonts w:cs="Times New Roman"/>
          <w:sz w:val="28"/>
          <w:szCs w:val="28"/>
        </w:rPr>
        <w:t>[</w:t>
      </w:r>
      <w:r w:rsidR="005D79B7">
        <w:rPr>
          <w:rFonts w:cs="Times New Roman"/>
          <w:sz w:val="28"/>
          <w:szCs w:val="28"/>
        </w:rPr>
        <w:t>16</w:t>
      </w:r>
      <w:r w:rsidR="00386077" w:rsidRPr="00CC042E">
        <w:rPr>
          <w:rFonts w:cs="Times New Roman"/>
          <w:sz w:val="28"/>
          <w:szCs w:val="28"/>
        </w:rPr>
        <w:t>]</w:t>
      </w:r>
      <w:r w:rsidR="00D01959" w:rsidRPr="00CC042E">
        <w:rPr>
          <w:rFonts w:cs="Times New Roman"/>
          <w:sz w:val="28"/>
          <w:szCs w:val="28"/>
        </w:rPr>
        <w:t xml:space="preserve"> Tuy nhiên </w:t>
      </w:r>
      <w:r w:rsidR="00EB2AD2" w:rsidRPr="00CC042E">
        <w:rPr>
          <w:rFonts w:cs="Times New Roman"/>
          <w:sz w:val="28"/>
          <w:szCs w:val="28"/>
        </w:rPr>
        <w:t>Remdesivir cần</w:t>
      </w:r>
      <w:r w:rsidR="00D01959" w:rsidRPr="00CC042E">
        <w:rPr>
          <w:rFonts w:cs="Times New Roman"/>
          <w:sz w:val="28"/>
          <w:szCs w:val="28"/>
        </w:rPr>
        <w:t xml:space="preserve"> sử dụng theo đường tiêm tĩnh mạch</w:t>
      </w:r>
      <w:r w:rsidR="00EB2AD2" w:rsidRPr="00CC042E">
        <w:rPr>
          <w:rFonts w:cs="Times New Roman"/>
          <w:sz w:val="28"/>
          <w:szCs w:val="28"/>
        </w:rPr>
        <w:t xml:space="preserve"> vì thế</w:t>
      </w:r>
      <w:r w:rsidR="00A32ADF" w:rsidRPr="00CC042E">
        <w:rPr>
          <w:rFonts w:cs="Times New Roman"/>
          <w:sz w:val="28"/>
          <w:szCs w:val="28"/>
        </w:rPr>
        <w:t xml:space="preserve"> khiến thuốc </w:t>
      </w:r>
      <w:r w:rsidR="00A32ADF" w:rsidRPr="00CC042E">
        <w:rPr>
          <w:rFonts w:cs="Times New Roman"/>
          <w:sz w:val="28"/>
          <w:szCs w:val="28"/>
        </w:rPr>
        <w:lastRenderedPageBreak/>
        <w:t>hạn chế</w:t>
      </w:r>
      <w:r w:rsidR="00F96025" w:rsidRPr="00CC042E">
        <w:rPr>
          <w:rFonts w:cs="Times New Roman"/>
          <w:sz w:val="28"/>
          <w:szCs w:val="28"/>
        </w:rPr>
        <w:t xml:space="preserve"> trong việc tiếp cận sớm ở bệnh nhân COVID-19</w:t>
      </w:r>
      <w:r w:rsidR="00884693" w:rsidRPr="00CC042E">
        <w:rPr>
          <w:rFonts w:cs="Times New Roman"/>
          <w:sz w:val="28"/>
          <w:szCs w:val="28"/>
        </w:rPr>
        <w:t>,</w:t>
      </w:r>
      <w:r w:rsidR="00386077" w:rsidRPr="00CC042E">
        <w:rPr>
          <w:rFonts w:cs="Times New Roman"/>
          <w:sz w:val="28"/>
          <w:szCs w:val="28"/>
        </w:rPr>
        <w:t xml:space="preserve"> </w:t>
      </w:r>
      <w:r w:rsidR="00884693" w:rsidRPr="00CC042E">
        <w:rPr>
          <w:rFonts w:cs="Times New Roman"/>
          <w:sz w:val="28"/>
          <w:szCs w:val="28"/>
        </w:rPr>
        <w:t>thuốc</w:t>
      </w:r>
      <w:r w:rsidR="00F96025" w:rsidRPr="00CC042E">
        <w:rPr>
          <w:rFonts w:cs="Times New Roman"/>
          <w:sz w:val="28"/>
          <w:szCs w:val="28"/>
        </w:rPr>
        <w:t xml:space="preserve"> chỉ được chấp thuận cho bệnh nhân </w:t>
      </w:r>
      <w:r w:rsidR="00386077" w:rsidRPr="00CC042E">
        <w:rPr>
          <w:rFonts w:cs="Times New Roman"/>
          <w:sz w:val="28"/>
          <w:szCs w:val="28"/>
        </w:rPr>
        <w:t xml:space="preserve">trung bình hoặc </w:t>
      </w:r>
      <w:r w:rsidR="00F96025" w:rsidRPr="00CC042E">
        <w:rPr>
          <w:rFonts w:cs="Times New Roman"/>
          <w:sz w:val="28"/>
          <w:szCs w:val="28"/>
        </w:rPr>
        <w:t>nặng nhập việ</w:t>
      </w:r>
      <w:r w:rsidR="000652D7">
        <w:rPr>
          <w:rFonts w:cs="Times New Roman"/>
          <w:sz w:val="28"/>
          <w:szCs w:val="28"/>
        </w:rPr>
        <w:t xml:space="preserve">n. </w:t>
      </w:r>
      <w:r w:rsidR="007321C4" w:rsidRPr="00CC042E">
        <w:rPr>
          <w:rFonts w:cs="Times New Roman"/>
          <w:sz w:val="28"/>
          <w:szCs w:val="28"/>
        </w:rPr>
        <w:t>Thuốc kháng virus chủ yếu nhằm vào giai đoạn virus đang nhân lên, tức là trong giai đoạn đầu khi mới khởi phát triệu chứng, vì thế thuốc kháng virus được dùng sớm sẽ giúp loại bỏ khả năng sao chép của virus càng sớm. Trong giai đoạ</w:t>
      </w:r>
      <w:r w:rsidR="00884693" w:rsidRPr="00CC042E">
        <w:rPr>
          <w:rFonts w:cs="Times New Roman"/>
          <w:sz w:val="28"/>
          <w:szCs w:val="28"/>
        </w:rPr>
        <w:t xml:space="preserve">n sau </w:t>
      </w:r>
      <w:r w:rsidR="007321C4" w:rsidRPr="00CC042E">
        <w:rPr>
          <w:rFonts w:cs="Times New Roman"/>
          <w:sz w:val="28"/>
          <w:szCs w:val="28"/>
        </w:rPr>
        <w:t xml:space="preserve">lúc này nồng độ virus rất thấp nên hầu như thuốc kháng virus </w:t>
      </w:r>
      <w:r w:rsidR="00DC39B4" w:rsidRPr="00CC042E">
        <w:rPr>
          <w:rFonts w:cs="Times New Roman"/>
          <w:sz w:val="28"/>
          <w:szCs w:val="28"/>
        </w:rPr>
        <w:t xml:space="preserve">có thể </w:t>
      </w:r>
      <w:r w:rsidR="007321C4" w:rsidRPr="00CC042E">
        <w:rPr>
          <w:rFonts w:cs="Times New Roman"/>
          <w:sz w:val="28"/>
          <w:szCs w:val="28"/>
        </w:rPr>
        <w:t>không còn tác dụng. [</w:t>
      </w:r>
      <w:r w:rsidR="005D79B7">
        <w:rPr>
          <w:rFonts w:cs="Times New Roman"/>
          <w:sz w:val="28"/>
          <w:szCs w:val="28"/>
        </w:rPr>
        <w:t>31</w:t>
      </w:r>
      <w:r w:rsidR="007321C4" w:rsidRPr="00CC042E">
        <w:rPr>
          <w:rFonts w:cs="Times New Roman"/>
          <w:sz w:val="28"/>
          <w:szCs w:val="28"/>
        </w:rPr>
        <w:t>]</w:t>
      </w:r>
      <w:r w:rsidR="000652D7">
        <w:rPr>
          <w:rFonts w:cs="Times New Roman"/>
          <w:sz w:val="28"/>
          <w:szCs w:val="28"/>
        </w:rPr>
        <w:t xml:space="preserve"> </w:t>
      </w:r>
      <w:r w:rsidR="00884693" w:rsidRPr="00CC042E">
        <w:rPr>
          <w:rFonts w:cs="Times New Roman"/>
          <w:sz w:val="28"/>
          <w:szCs w:val="28"/>
        </w:rPr>
        <w:t>N</w:t>
      </w:r>
      <w:r w:rsidR="007321C4" w:rsidRPr="00CC042E">
        <w:rPr>
          <w:rFonts w:cs="Times New Roman"/>
          <w:sz w:val="28"/>
          <w:szCs w:val="28"/>
        </w:rPr>
        <w:t>ghiên cứu cho thấy</w:t>
      </w:r>
      <w:r w:rsidR="00F96025" w:rsidRPr="00CC042E">
        <w:rPr>
          <w:rFonts w:cs="Times New Roman"/>
          <w:sz w:val="28"/>
          <w:szCs w:val="28"/>
        </w:rPr>
        <w:t xml:space="preserve"> thuốc kháng virus nên được điều trị sớm từ giai đoạn đầu của bệnh sẽ đem lại hiệu quả tốt hơn [</w:t>
      </w:r>
      <w:r w:rsidR="005D79B7">
        <w:rPr>
          <w:rFonts w:cs="Times New Roman"/>
          <w:sz w:val="28"/>
          <w:szCs w:val="28"/>
        </w:rPr>
        <w:t>20</w:t>
      </w:r>
      <w:r w:rsidR="00F96025" w:rsidRPr="00CC042E">
        <w:rPr>
          <w:rFonts w:cs="Times New Roman"/>
          <w:sz w:val="28"/>
          <w:szCs w:val="28"/>
        </w:rPr>
        <w:t>]</w:t>
      </w:r>
      <w:r w:rsidR="000652D7">
        <w:rPr>
          <w:rFonts w:cs="Times New Roman"/>
          <w:sz w:val="28"/>
          <w:szCs w:val="28"/>
        </w:rPr>
        <w:t xml:space="preserve"> </w:t>
      </w:r>
      <w:r w:rsidR="003673BD" w:rsidRPr="00CC042E">
        <w:rPr>
          <w:rFonts w:cs="Times New Roman"/>
          <w:sz w:val="28"/>
          <w:szCs w:val="28"/>
        </w:rPr>
        <w:t>Chính vì thế thuốc kháng virus đường uống</w:t>
      </w:r>
      <w:r w:rsidR="00DC39B4" w:rsidRPr="00CC042E">
        <w:rPr>
          <w:rFonts w:cs="Times New Roman"/>
          <w:sz w:val="28"/>
          <w:szCs w:val="28"/>
        </w:rPr>
        <w:t xml:space="preserve"> là giải pháp</w:t>
      </w:r>
      <w:r w:rsidR="003673BD" w:rsidRPr="00CC042E">
        <w:rPr>
          <w:rFonts w:cs="Times New Roman"/>
          <w:sz w:val="28"/>
          <w:szCs w:val="28"/>
        </w:rPr>
        <w:t xml:space="preserve"> giúp kiểm soát sớm bệnh </w:t>
      </w:r>
      <w:r w:rsidR="008E5EED" w:rsidRPr="00CC042E">
        <w:rPr>
          <w:rFonts w:cs="Times New Roman"/>
          <w:sz w:val="28"/>
          <w:szCs w:val="28"/>
        </w:rPr>
        <w:t xml:space="preserve">khi mới khởi phát, hạn chế lây nhiễm và giảm được tình trạng bệnh chuyển biến xấu nhập viện. Hiện có nhiều loại thuốc kháng virus đường uống </w:t>
      </w:r>
      <w:r w:rsidRPr="00CC042E">
        <w:rPr>
          <w:rFonts w:cs="Times New Roman"/>
          <w:sz w:val="28"/>
          <w:szCs w:val="28"/>
        </w:rPr>
        <w:t>đang trong giai đoạn thử nghiệm và những phương pháp khác đang được phát triển</w:t>
      </w:r>
      <w:r w:rsidR="008E5EED" w:rsidRPr="00CC042E">
        <w:rPr>
          <w:rFonts w:cs="Times New Roman"/>
          <w:sz w:val="28"/>
          <w:szCs w:val="28"/>
        </w:rPr>
        <w:t xml:space="preserve"> để điều trị </w:t>
      </w:r>
      <w:r w:rsidR="00DC39B4" w:rsidRPr="00CC042E">
        <w:rPr>
          <w:rFonts w:cs="Times New Roman"/>
          <w:sz w:val="28"/>
          <w:szCs w:val="28"/>
        </w:rPr>
        <w:t xml:space="preserve">COVID-19. </w:t>
      </w:r>
      <w:r w:rsidR="008E5EED" w:rsidRPr="00CC042E">
        <w:rPr>
          <w:rFonts w:cs="Times New Roman"/>
          <w:sz w:val="28"/>
          <w:szCs w:val="28"/>
        </w:rPr>
        <w:t xml:space="preserve">Tại Việt Nam </w:t>
      </w:r>
      <w:r w:rsidR="00B828BB" w:rsidRPr="00CC042E">
        <w:rPr>
          <w:rFonts w:cs="Times New Roman"/>
          <w:sz w:val="28"/>
          <w:szCs w:val="28"/>
        </w:rPr>
        <w:t>Favipiravir và Molnupiravir là 2 thuốc kháng virus đường uống được Bộ y tế khuyến cáo sử dụng trong điều trị Covid-19. [</w:t>
      </w:r>
      <w:r w:rsidR="005D79B7">
        <w:rPr>
          <w:rFonts w:cs="Times New Roman"/>
          <w:sz w:val="28"/>
          <w:szCs w:val="28"/>
        </w:rPr>
        <w:t>1</w:t>
      </w:r>
      <w:r w:rsidR="00B828BB" w:rsidRPr="00CC042E">
        <w:rPr>
          <w:rFonts w:cs="Times New Roman"/>
          <w:sz w:val="28"/>
          <w:szCs w:val="28"/>
        </w:rPr>
        <w:t>]</w:t>
      </w:r>
    </w:p>
    <w:p w:rsidR="00033F67" w:rsidRDefault="000B304F" w:rsidP="00820A72">
      <w:pPr>
        <w:ind w:firstLine="720"/>
        <w:contextualSpacing/>
        <w:jc w:val="both"/>
        <w:rPr>
          <w:rFonts w:cs="Times New Roman"/>
          <w:sz w:val="28"/>
          <w:szCs w:val="28"/>
        </w:rPr>
      </w:pPr>
      <w:r w:rsidRPr="00CC042E">
        <w:rPr>
          <w:rFonts w:cs="Times New Roman"/>
          <w:sz w:val="28"/>
          <w:szCs w:val="28"/>
        </w:rPr>
        <w:t xml:space="preserve">Gần đây </w:t>
      </w:r>
      <w:r w:rsidR="00A678EF" w:rsidRPr="00CC042E">
        <w:rPr>
          <w:rFonts w:cs="Times New Roman"/>
          <w:sz w:val="28"/>
          <w:szCs w:val="28"/>
          <w:shd w:val="clear" w:color="auto" w:fill="FFFFFF"/>
        </w:rPr>
        <w:t xml:space="preserve">hãng dược phẩm Pfizer (Mỹ) công bố thuốc kháng virus có tên là Paxlovid do hãng sản xuất gồm hoạt chất </w:t>
      </w:r>
      <w:r w:rsidR="00A678EF" w:rsidRPr="00CC042E">
        <w:rPr>
          <w:rFonts w:cs="Times New Roman"/>
          <w:sz w:val="28"/>
          <w:szCs w:val="28"/>
        </w:rPr>
        <w:t>PF-07321332</w:t>
      </w:r>
      <w:r w:rsidR="00E85FD3" w:rsidRPr="00CC042E">
        <w:rPr>
          <w:rFonts w:cs="Times New Roman"/>
          <w:sz w:val="28"/>
          <w:szCs w:val="28"/>
        </w:rPr>
        <w:t xml:space="preserve"> </w:t>
      </w:r>
      <w:r w:rsidR="00A678EF" w:rsidRPr="00CC042E">
        <w:rPr>
          <w:rFonts w:cs="Times New Roman"/>
          <w:sz w:val="28"/>
          <w:szCs w:val="28"/>
        </w:rPr>
        <w:t xml:space="preserve">kết hợp </w:t>
      </w:r>
      <w:r w:rsidR="00A678EF" w:rsidRPr="00CC042E">
        <w:rPr>
          <w:rFonts w:cs="Times New Roman"/>
          <w:sz w:val="28"/>
          <w:szCs w:val="28"/>
          <w:shd w:val="clear" w:color="auto" w:fill="FFFFFF"/>
        </w:rPr>
        <w:t xml:space="preserve">với một loại thuốc kháng virus đã biết là </w:t>
      </w:r>
      <w:r w:rsidR="001D662F" w:rsidRPr="00CC042E">
        <w:rPr>
          <w:rFonts w:cs="Times New Roman"/>
          <w:sz w:val="28"/>
          <w:szCs w:val="28"/>
          <w:shd w:val="clear" w:color="auto" w:fill="FFFFFF"/>
        </w:rPr>
        <w:t>R</w:t>
      </w:r>
      <w:r w:rsidR="00A678EF" w:rsidRPr="00CC042E">
        <w:rPr>
          <w:rFonts w:cs="Times New Roman"/>
          <w:sz w:val="28"/>
          <w:szCs w:val="28"/>
          <w:shd w:val="clear" w:color="auto" w:fill="FFFFFF"/>
        </w:rPr>
        <w:t xml:space="preserve">itonavir. </w:t>
      </w:r>
      <w:r w:rsidR="005E1F57" w:rsidRPr="00CC042E">
        <w:rPr>
          <w:rFonts w:cs="Times New Roman"/>
          <w:sz w:val="28"/>
          <w:szCs w:val="28"/>
          <w:shd w:val="clear" w:color="auto" w:fill="FFFFFF"/>
        </w:rPr>
        <w:t>Trong khi</w:t>
      </w:r>
      <w:r w:rsidR="006C52C6" w:rsidRPr="00CC042E">
        <w:rPr>
          <w:rFonts w:cs="Times New Roman"/>
          <w:sz w:val="28"/>
          <w:szCs w:val="28"/>
          <w:shd w:val="clear" w:color="auto" w:fill="FFFFFF"/>
        </w:rPr>
        <w:t xml:space="preserve"> </w:t>
      </w:r>
      <w:r w:rsidR="00F96C60" w:rsidRPr="00CC042E">
        <w:rPr>
          <w:rFonts w:cs="Times New Roman"/>
          <w:sz w:val="28"/>
          <w:szCs w:val="28"/>
        </w:rPr>
        <w:t xml:space="preserve">Remdesivir (GS-5734; Gilead Sciences Inc., US), </w:t>
      </w:r>
      <w:r w:rsidR="006C52C6" w:rsidRPr="00CC042E">
        <w:rPr>
          <w:rFonts w:cs="Times New Roman"/>
          <w:sz w:val="28"/>
          <w:szCs w:val="28"/>
        </w:rPr>
        <w:t>Favipiravir (</w:t>
      </w:r>
      <w:r w:rsidR="006C52C6" w:rsidRPr="00CC042E">
        <w:rPr>
          <w:rFonts w:cs="Times New Roman"/>
          <w:sz w:val="28"/>
          <w:szCs w:val="28"/>
          <w:shd w:val="clear" w:color="auto" w:fill="FFFFFF"/>
        </w:rPr>
        <w:t xml:space="preserve">Toyama </w:t>
      </w:r>
      <w:r w:rsidR="006C52C6" w:rsidRPr="00E337CE">
        <w:rPr>
          <w:rFonts w:cs="Times New Roman"/>
          <w:sz w:val="28"/>
          <w:szCs w:val="28"/>
        </w:rPr>
        <w:t>Chemical</w:t>
      </w:r>
      <w:r w:rsidR="006C52C6" w:rsidRPr="00CC042E">
        <w:rPr>
          <w:rFonts w:cs="Times New Roman"/>
          <w:sz w:val="28"/>
          <w:szCs w:val="28"/>
          <w:shd w:val="clear" w:color="auto" w:fill="FFFFFF"/>
        </w:rPr>
        <w:t xml:space="preserve"> Co., Ltd, Japan)</w:t>
      </w:r>
      <w:r w:rsidR="006C52C6" w:rsidRPr="00CC042E">
        <w:rPr>
          <w:rFonts w:cs="Times New Roman"/>
          <w:sz w:val="28"/>
          <w:szCs w:val="28"/>
        </w:rPr>
        <w:t xml:space="preserve"> và Molnupiravir </w:t>
      </w:r>
      <w:r w:rsidR="00E841CF" w:rsidRPr="00CC042E">
        <w:rPr>
          <w:rFonts w:cs="Times New Roman"/>
          <w:sz w:val="28"/>
          <w:szCs w:val="28"/>
        </w:rPr>
        <w:t>(</w:t>
      </w:r>
      <w:r w:rsidR="00E841CF" w:rsidRPr="00CC042E">
        <w:rPr>
          <w:rFonts w:cs="Times New Roman"/>
          <w:sz w:val="28"/>
          <w:szCs w:val="28"/>
          <w:shd w:val="clear" w:color="auto" w:fill="FFFFFF"/>
        </w:rPr>
        <w:t>EIDD-2801, MK-4482</w:t>
      </w:r>
      <w:r w:rsidR="00E841CF" w:rsidRPr="00CC042E">
        <w:rPr>
          <w:rFonts w:cs="Times New Roman"/>
          <w:sz w:val="28"/>
          <w:szCs w:val="28"/>
        </w:rPr>
        <w:t xml:space="preserve">) </w:t>
      </w:r>
      <w:r w:rsidR="00F96C60" w:rsidRPr="00CC042E">
        <w:rPr>
          <w:rFonts w:cs="Times New Roman"/>
          <w:sz w:val="28"/>
          <w:szCs w:val="28"/>
        </w:rPr>
        <w:t xml:space="preserve">là những chất tương tự nucleoside và hoạt động như một chất ức chế cạnh tranh </w:t>
      </w:r>
      <w:r w:rsidR="00E841CF" w:rsidRPr="00CC042E">
        <w:rPr>
          <w:rFonts w:cs="Times New Roman"/>
          <w:sz w:val="28"/>
          <w:szCs w:val="28"/>
        </w:rPr>
        <w:t>enzym RNA polymerase phụ thuộc RNA</w:t>
      </w:r>
      <w:r w:rsidR="00F96C60" w:rsidRPr="00CC042E">
        <w:rPr>
          <w:rFonts w:cs="Times New Roman"/>
          <w:sz w:val="28"/>
          <w:szCs w:val="28"/>
        </w:rPr>
        <w:t xml:space="preserve"> (RdRp – </w:t>
      </w:r>
      <w:r w:rsidR="00F96C60" w:rsidRPr="00CC042E">
        <w:rPr>
          <w:rFonts w:cs="Times New Roman"/>
          <w:sz w:val="28"/>
          <w:szCs w:val="28"/>
          <w:shd w:val="clear" w:color="auto" w:fill="FFFFFF"/>
        </w:rPr>
        <w:t>RNA dependent RNA polymerase</w:t>
      </w:r>
      <w:r w:rsidR="00F96C60" w:rsidRPr="00CC042E">
        <w:rPr>
          <w:rFonts w:cs="Times New Roman"/>
          <w:sz w:val="28"/>
          <w:szCs w:val="28"/>
        </w:rPr>
        <w:t>) của virus từ đó tác động vào quá trình nhân bản của virus.</w:t>
      </w:r>
      <w:r w:rsidR="005E1F57" w:rsidRPr="00CC042E">
        <w:rPr>
          <w:rFonts w:cs="Times New Roman"/>
          <w:sz w:val="28"/>
          <w:szCs w:val="28"/>
        </w:rPr>
        <w:t xml:space="preserve"> </w:t>
      </w:r>
      <w:r w:rsidR="009A2126" w:rsidRPr="00CC042E">
        <w:rPr>
          <w:rFonts w:cs="Times New Roman"/>
          <w:sz w:val="28"/>
          <w:szCs w:val="28"/>
          <w:shd w:val="clear" w:color="auto" w:fill="FFFFFF"/>
        </w:rPr>
        <w:t>PF-07321332 là thuốc kháng virus thông qua</w:t>
      </w:r>
      <w:r w:rsidR="00A678EF" w:rsidRPr="00CC042E">
        <w:rPr>
          <w:rFonts w:cs="Times New Roman"/>
          <w:sz w:val="28"/>
          <w:szCs w:val="28"/>
          <w:shd w:val="clear" w:color="auto" w:fill="FFFFFF"/>
        </w:rPr>
        <w:t xml:space="preserve"> ứ</w:t>
      </w:r>
      <w:r w:rsidR="00E85FD3" w:rsidRPr="00CC042E">
        <w:rPr>
          <w:rFonts w:cs="Times New Roman"/>
          <w:sz w:val="28"/>
          <w:szCs w:val="28"/>
          <w:shd w:val="clear" w:color="auto" w:fill="FFFFFF"/>
        </w:rPr>
        <w:t>c chế</w:t>
      </w:r>
      <w:r w:rsidR="009A2126" w:rsidRPr="00CC042E">
        <w:rPr>
          <w:rFonts w:cs="Times New Roman"/>
          <w:sz w:val="28"/>
          <w:szCs w:val="28"/>
          <w:shd w:val="clear" w:color="auto" w:fill="FFFFFF"/>
        </w:rPr>
        <w:t xml:space="preserve"> </w:t>
      </w:r>
      <w:r w:rsidR="00AB0718" w:rsidRPr="00CC042E">
        <w:rPr>
          <w:rFonts w:cs="Times New Roman"/>
          <w:sz w:val="28"/>
          <w:szCs w:val="28"/>
        </w:rPr>
        <w:t>ức chế dư lượng cysteine</w:t>
      </w:r>
      <w:r w:rsidR="00AB0718" w:rsidRPr="00CC042E">
        <w:rPr>
          <w:rFonts w:cs="Times New Roman"/>
          <w:sz w:val="28"/>
          <w:szCs w:val="28"/>
          <w:shd w:val="clear" w:color="auto" w:fill="FFFFFF"/>
        </w:rPr>
        <w:t xml:space="preserve"> trong </w:t>
      </w:r>
      <w:r w:rsidR="009A2126" w:rsidRPr="00CC042E">
        <w:rPr>
          <w:rFonts w:cs="Times New Roman"/>
          <w:sz w:val="28"/>
          <w:szCs w:val="28"/>
          <w:shd w:val="clear" w:color="auto" w:fill="FFFFFF"/>
        </w:rPr>
        <w:t>3CL</w:t>
      </w:r>
      <w:r w:rsidR="00E85FD3" w:rsidRPr="00CC042E">
        <w:rPr>
          <w:rFonts w:cs="Times New Roman"/>
          <w:sz w:val="28"/>
          <w:szCs w:val="28"/>
          <w:shd w:val="clear" w:color="auto" w:fill="FFFFFF"/>
          <w:vertAlign w:val="superscript"/>
        </w:rPr>
        <w:t>pro</w:t>
      </w:r>
      <w:r w:rsidR="00E85FD3" w:rsidRPr="00CC042E">
        <w:rPr>
          <w:rFonts w:cs="Times New Roman"/>
          <w:sz w:val="28"/>
          <w:szCs w:val="28"/>
          <w:shd w:val="clear" w:color="auto" w:fill="FFFFFF"/>
        </w:rPr>
        <w:t xml:space="preserve"> (3C-like protease, cũng có tên gọi khác là main protease - M</w:t>
      </w:r>
      <w:r w:rsidR="0060049D">
        <w:rPr>
          <w:rFonts w:cs="Times New Roman"/>
          <w:sz w:val="28"/>
          <w:szCs w:val="28"/>
          <w:shd w:val="clear" w:color="auto" w:fill="FFFFFF"/>
          <w:vertAlign w:val="superscript"/>
        </w:rPr>
        <w:t xml:space="preserve">pro </w:t>
      </w:r>
      <w:r w:rsidR="00AB0718" w:rsidRPr="00CC042E">
        <w:rPr>
          <w:rFonts w:cs="Times New Roman"/>
          <w:sz w:val="28"/>
          <w:szCs w:val="28"/>
          <w:shd w:val="clear" w:color="auto" w:fill="FFFFFF"/>
        </w:rPr>
        <w:t>hay non-structural protein 5 – nsp5</w:t>
      </w:r>
      <w:r w:rsidR="00E85FD3" w:rsidRPr="00CC042E">
        <w:rPr>
          <w:rFonts w:cs="Times New Roman"/>
          <w:sz w:val="28"/>
          <w:szCs w:val="28"/>
          <w:shd w:val="clear" w:color="auto" w:fill="FFFFFF"/>
        </w:rPr>
        <w:t>)</w:t>
      </w:r>
      <w:r w:rsidR="009A2126" w:rsidRPr="00CC042E">
        <w:rPr>
          <w:rFonts w:cs="Times New Roman"/>
          <w:sz w:val="28"/>
          <w:szCs w:val="28"/>
          <w:shd w:val="clear" w:color="auto" w:fill="FFFFFF"/>
        </w:rPr>
        <w:t xml:space="preserve"> của SARS-CoV-2</w:t>
      </w:r>
      <w:r w:rsidR="00E85FD3" w:rsidRPr="00CC042E">
        <w:rPr>
          <w:rFonts w:cs="Times New Roman"/>
          <w:sz w:val="28"/>
          <w:szCs w:val="28"/>
          <w:shd w:val="clear" w:color="auto" w:fill="FFFFFF"/>
        </w:rPr>
        <w:t xml:space="preserve">. </w:t>
      </w:r>
      <w:r w:rsidR="00AB0718" w:rsidRPr="00CC042E">
        <w:rPr>
          <w:rFonts w:cs="Times New Roman"/>
          <w:sz w:val="28"/>
          <w:szCs w:val="28"/>
        </w:rPr>
        <w:t xml:space="preserve">Cysteine này chịu trách nhiệm đối với hoạt động của </w:t>
      </w:r>
      <w:r w:rsidR="00AB0718" w:rsidRPr="00CC042E">
        <w:rPr>
          <w:rFonts w:cs="Times New Roman"/>
          <w:sz w:val="28"/>
          <w:szCs w:val="28"/>
          <w:shd w:val="clear" w:color="auto" w:fill="FFFFFF"/>
        </w:rPr>
        <w:t>3CL</w:t>
      </w:r>
      <w:r w:rsidR="00AB0718" w:rsidRPr="00CC042E">
        <w:rPr>
          <w:rFonts w:cs="Times New Roman"/>
          <w:sz w:val="28"/>
          <w:szCs w:val="28"/>
          <w:shd w:val="clear" w:color="auto" w:fill="FFFFFF"/>
          <w:vertAlign w:val="superscript"/>
        </w:rPr>
        <w:t>pro</w:t>
      </w:r>
      <w:r w:rsidR="00AB0718" w:rsidRPr="00CC042E">
        <w:rPr>
          <w:rFonts w:cs="Times New Roman"/>
          <w:sz w:val="28"/>
          <w:szCs w:val="28"/>
        </w:rPr>
        <w:t xml:space="preserve"> của SARS-CoV-2 và các thành viên khác của họ coronavirus</w:t>
      </w:r>
      <w:r w:rsidR="00AB0718" w:rsidRPr="00CC042E">
        <w:rPr>
          <w:rFonts w:cs="Times New Roman"/>
          <w:sz w:val="28"/>
          <w:szCs w:val="28"/>
          <w:shd w:val="clear" w:color="auto" w:fill="FFFFFF"/>
        </w:rPr>
        <w:t xml:space="preserve">. </w:t>
      </w:r>
      <w:r w:rsidR="00E85FD3" w:rsidRPr="00CC042E">
        <w:rPr>
          <w:rFonts w:cs="Times New Roman"/>
          <w:sz w:val="28"/>
          <w:szCs w:val="28"/>
          <w:shd w:val="clear" w:color="auto" w:fill="FFFFFF"/>
        </w:rPr>
        <w:t>3CL</w:t>
      </w:r>
      <w:r w:rsidR="00E85FD3" w:rsidRPr="00CC042E">
        <w:rPr>
          <w:rFonts w:cs="Times New Roman"/>
          <w:sz w:val="28"/>
          <w:szCs w:val="28"/>
          <w:shd w:val="clear" w:color="auto" w:fill="FFFFFF"/>
          <w:vertAlign w:val="superscript"/>
        </w:rPr>
        <w:t>pro</w:t>
      </w:r>
      <w:r w:rsidR="00E85FD3" w:rsidRPr="00CC042E">
        <w:rPr>
          <w:rFonts w:cs="Times New Roman"/>
          <w:sz w:val="28"/>
          <w:szCs w:val="28"/>
        </w:rPr>
        <w:t xml:space="preserve"> chịu trách nhiệm phân cắ</w:t>
      </w:r>
      <w:r w:rsidR="00AB0718" w:rsidRPr="00CC042E">
        <w:rPr>
          <w:rFonts w:cs="Times New Roman"/>
          <w:sz w:val="28"/>
          <w:szCs w:val="28"/>
        </w:rPr>
        <w:t>t các polyprotein 1a và 1ab</w:t>
      </w:r>
      <w:r w:rsidR="00E85FD3" w:rsidRPr="00CC042E">
        <w:rPr>
          <w:rFonts w:cs="Times New Roman"/>
          <w:sz w:val="28"/>
          <w:szCs w:val="28"/>
        </w:rPr>
        <w:t xml:space="preserve">, </w:t>
      </w:r>
      <w:r w:rsidR="00AB0718" w:rsidRPr="00CC042E">
        <w:rPr>
          <w:rFonts w:cs="Times New Roman"/>
          <w:sz w:val="28"/>
          <w:szCs w:val="28"/>
        </w:rPr>
        <w:t xml:space="preserve">các polyprotein này chứa </w:t>
      </w:r>
      <w:r w:rsidR="00AB0718" w:rsidRPr="00CC042E">
        <w:rPr>
          <w:rFonts w:cs="Times New Roman"/>
          <w:sz w:val="28"/>
          <w:szCs w:val="28"/>
          <w:shd w:val="clear" w:color="auto" w:fill="FFFFFF"/>
        </w:rPr>
        <w:t>3CL</w:t>
      </w:r>
      <w:r w:rsidR="00AB0718" w:rsidRPr="00CC042E">
        <w:rPr>
          <w:rFonts w:cs="Times New Roman"/>
          <w:sz w:val="28"/>
          <w:szCs w:val="28"/>
          <w:shd w:val="clear" w:color="auto" w:fill="FFFFFF"/>
          <w:vertAlign w:val="superscript"/>
        </w:rPr>
        <w:t>pro</w:t>
      </w:r>
      <w:r w:rsidR="00AB0718" w:rsidRPr="00CC042E">
        <w:rPr>
          <w:rFonts w:cs="Times New Roman"/>
          <w:sz w:val="28"/>
          <w:szCs w:val="28"/>
        </w:rPr>
        <w:t>, mộ</w:t>
      </w:r>
      <w:r w:rsidR="008D2F7E" w:rsidRPr="00CC042E">
        <w:rPr>
          <w:rFonts w:cs="Times New Roman"/>
          <w:sz w:val="28"/>
          <w:szCs w:val="28"/>
        </w:rPr>
        <w:t>t protease</w:t>
      </w:r>
      <w:r w:rsidR="00AB0718" w:rsidRPr="00CC042E">
        <w:rPr>
          <w:rFonts w:cs="Times New Roman"/>
          <w:sz w:val="28"/>
          <w:szCs w:val="28"/>
        </w:rPr>
        <w:t xml:space="preserve"> papain</w:t>
      </w:r>
      <w:r w:rsidR="00DC39B4" w:rsidRPr="00CC042E">
        <w:rPr>
          <w:rFonts w:cs="Times New Roman"/>
          <w:sz w:val="28"/>
          <w:szCs w:val="28"/>
        </w:rPr>
        <w:t>-like</w:t>
      </w:r>
      <w:r w:rsidR="00AB0718" w:rsidRPr="00CC042E">
        <w:rPr>
          <w:rFonts w:cs="Times New Roman"/>
          <w:sz w:val="28"/>
          <w:szCs w:val="28"/>
        </w:rPr>
        <w:t xml:space="preserve"> (PL</w:t>
      </w:r>
      <w:r w:rsidR="008D2F7E" w:rsidRPr="00CC042E">
        <w:rPr>
          <w:rFonts w:cs="Times New Roman"/>
          <w:sz w:val="28"/>
          <w:szCs w:val="28"/>
          <w:vertAlign w:val="superscript"/>
        </w:rPr>
        <w:t>pro</w:t>
      </w:r>
      <w:r w:rsidR="00AB0718" w:rsidRPr="00CC042E">
        <w:rPr>
          <w:rFonts w:cs="Times New Roman"/>
          <w:sz w:val="28"/>
          <w:szCs w:val="28"/>
        </w:rPr>
        <w:t>) và 14 nsp khác. N</w:t>
      </w:r>
      <w:r w:rsidR="00E85FD3" w:rsidRPr="00CC042E">
        <w:rPr>
          <w:rFonts w:cs="Times New Roman"/>
          <w:sz w:val="28"/>
          <w:szCs w:val="28"/>
        </w:rPr>
        <w:t xml:space="preserve">ếu không có hoạt động của </w:t>
      </w:r>
      <w:r w:rsidR="00E85FD3" w:rsidRPr="00CC042E">
        <w:rPr>
          <w:rFonts w:cs="Times New Roman"/>
          <w:sz w:val="28"/>
          <w:szCs w:val="28"/>
          <w:shd w:val="clear" w:color="auto" w:fill="FFFFFF"/>
        </w:rPr>
        <w:t>3CL</w:t>
      </w:r>
      <w:r w:rsidR="00E85FD3" w:rsidRPr="00CC042E">
        <w:rPr>
          <w:rFonts w:cs="Times New Roman"/>
          <w:sz w:val="28"/>
          <w:szCs w:val="28"/>
          <w:shd w:val="clear" w:color="auto" w:fill="FFFFFF"/>
          <w:vertAlign w:val="superscript"/>
        </w:rPr>
        <w:t>pro</w:t>
      </w:r>
      <w:r w:rsidR="00AB0718" w:rsidRPr="00CC042E">
        <w:rPr>
          <w:rFonts w:cs="Times New Roman"/>
          <w:sz w:val="28"/>
          <w:szCs w:val="28"/>
        </w:rPr>
        <w:t>, các nsp</w:t>
      </w:r>
      <w:r w:rsidR="00E85FD3" w:rsidRPr="00CC042E">
        <w:rPr>
          <w:rFonts w:cs="Times New Roman"/>
          <w:sz w:val="28"/>
          <w:szCs w:val="28"/>
        </w:rPr>
        <w:t xml:space="preserve"> (bao gồm cả protease) không thể được giải phóng để thực hiện các chức năng của chúng, từ đó ức chế sự nhân lên của virus.</w:t>
      </w:r>
      <w:r w:rsidR="009A2126" w:rsidRPr="00CC042E">
        <w:rPr>
          <w:rFonts w:cs="Times New Roman"/>
          <w:sz w:val="28"/>
          <w:szCs w:val="28"/>
        </w:rPr>
        <w:t xml:space="preserve"> </w:t>
      </w:r>
      <w:r w:rsidR="00AB0718" w:rsidRPr="00CC042E">
        <w:rPr>
          <w:rFonts w:cs="Times New Roman"/>
          <w:sz w:val="28"/>
          <w:szCs w:val="28"/>
        </w:rPr>
        <w:t>[</w:t>
      </w:r>
      <w:r w:rsidR="005D79B7">
        <w:rPr>
          <w:rFonts w:cs="Times New Roman"/>
          <w:sz w:val="28"/>
          <w:szCs w:val="28"/>
        </w:rPr>
        <w:t>15</w:t>
      </w:r>
      <w:r w:rsidR="00AB0718" w:rsidRPr="00CC042E">
        <w:rPr>
          <w:rFonts w:cs="Times New Roman"/>
          <w:sz w:val="28"/>
          <w:szCs w:val="28"/>
        </w:rPr>
        <w:t>][</w:t>
      </w:r>
      <w:r w:rsidR="005D79B7">
        <w:rPr>
          <w:rFonts w:cs="Times New Roman"/>
          <w:sz w:val="28"/>
          <w:szCs w:val="28"/>
        </w:rPr>
        <w:t>21</w:t>
      </w:r>
      <w:r w:rsidR="00AB0718" w:rsidRPr="00CC042E">
        <w:rPr>
          <w:rFonts w:cs="Times New Roman"/>
          <w:sz w:val="28"/>
          <w:szCs w:val="28"/>
        </w:rPr>
        <w:t>]</w:t>
      </w:r>
      <w:r w:rsidR="000652D7">
        <w:rPr>
          <w:rFonts w:cs="Times New Roman"/>
          <w:sz w:val="28"/>
          <w:szCs w:val="28"/>
        </w:rPr>
        <w:t xml:space="preserve"> </w:t>
      </w:r>
      <w:r w:rsidR="008D2F7E" w:rsidRPr="00CC042E">
        <w:rPr>
          <w:rFonts w:cs="Times New Roman"/>
          <w:sz w:val="28"/>
          <w:szCs w:val="28"/>
          <w:shd w:val="clear" w:color="auto" w:fill="FFFFFF"/>
        </w:rPr>
        <w:t>Paxlovid</w:t>
      </w:r>
      <w:r w:rsidR="008D2F7E" w:rsidRPr="00CC042E">
        <w:rPr>
          <w:rFonts w:cs="Times New Roman"/>
          <w:sz w:val="28"/>
          <w:szCs w:val="28"/>
        </w:rPr>
        <w:t xml:space="preserve"> gồm hoạt chất</w:t>
      </w:r>
      <w:r w:rsidR="009A2126" w:rsidRPr="00CC042E">
        <w:rPr>
          <w:rFonts w:cs="Times New Roman"/>
          <w:sz w:val="28"/>
          <w:szCs w:val="28"/>
        </w:rPr>
        <w:t xml:space="preserve"> </w:t>
      </w:r>
      <w:r w:rsidR="005E1F57" w:rsidRPr="00CC042E">
        <w:rPr>
          <w:rFonts w:cs="Times New Roman"/>
          <w:sz w:val="28"/>
          <w:szCs w:val="28"/>
        </w:rPr>
        <w:t xml:space="preserve">PF-07321332 </w:t>
      </w:r>
      <w:r w:rsidR="008D2F7E" w:rsidRPr="00CC042E">
        <w:rPr>
          <w:rFonts w:cs="Times New Roman"/>
          <w:sz w:val="28"/>
          <w:szCs w:val="28"/>
        </w:rPr>
        <w:t xml:space="preserve">sử dụng </w:t>
      </w:r>
      <w:r w:rsidR="009A2126" w:rsidRPr="00CC042E">
        <w:rPr>
          <w:rFonts w:cs="Times New Roman"/>
          <w:sz w:val="28"/>
          <w:szCs w:val="28"/>
        </w:rPr>
        <w:t>đồng thời với liều thấ</w:t>
      </w:r>
      <w:r w:rsidR="00C635CB" w:rsidRPr="00CC042E">
        <w:rPr>
          <w:rFonts w:cs="Times New Roman"/>
          <w:sz w:val="28"/>
          <w:szCs w:val="28"/>
        </w:rPr>
        <w:t>p R</w:t>
      </w:r>
      <w:r w:rsidR="009A2126" w:rsidRPr="00CC042E">
        <w:rPr>
          <w:rFonts w:cs="Times New Roman"/>
          <w:sz w:val="28"/>
          <w:szCs w:val="28"/>
        </w:rPr>
        <w:t>itonavir</w:t>
      </w:r>
      <w:r w:rsidR="00C635CB" w:rsidRPr="00CC042E">
        <w:rPr>
          <w:rFonts w:cs="Times New Roman"/>
          <w:sz w:val="28"/>
          <w:szCs w:val="28"/>
        </w:rPr>
        <w:t xml:space="preserve"> (chất ức chế CYP3A4 mạnh)</w:t>
      </w:r>
      <w:r w:rsidR="009A2126" w:rsidRPr="00CC042E">
        <w:rPr>
          <w:rFonts w:cs="Times New Roman"/>
          <w:sz w:val="28"/>
          <w:szCs w:val="28"/>
        </w:rPr>
        <w:t xml:space="preserve"> giúp làm chậm quá trình chuyển hóa hoặc phân hủy PF-07321332 để nó duy trì hoạt động trong cơ thể ở nồng độ cao trong thời gian dài để giúp chống lại vi rút.</w:t>
      </w:r>
      <w:r w:rsidR="00E85FD3" w:rsidRPr="00CC042E">
        <w:rPr>
          <w:rFonts w:cs="Times New Roman"/>
          <w:sz w:val="28"/>
          <w:szCs w:val="28"/>
        </w:rPr>
        <w:t>[</w:t>
      </w:r>
      <w:r w:rsidR="005D79B7">
        <w:rPr>
          <w:rFonts w:cs="Times New Roman"/>
          <w:sz w:val="28"/>
          <w:szCs w:val="28"/>
        </w:rPr>
        <w:t>19</w:t>
      </w:r>
      <w:r w:rsidR="00E85FD3" w:rsidRPr="00CC042E">
        <w:rPr>
          <w:rFonts w:cs="Times New Roman"/>
          <w:sz w:val="28"/>
          <w:szCs w:val="28"/>
        </w:rPr>
        <w:t>][</w:t>
      </w:r>
      <w:r w:rsidR="005D79B7">
        <w:rPr>
          <w:rFonts w:cs="Times New Roman"/>
          <w:sz w:val="28"/>
          <w:szCs w:val="28"/>
        </w:rPr>
        <w:t>27</w:t>
      </w:r>
      <w:r w:rsidR="00E85FD3" w:rsidRPr="00CC042E">
        <w:rPr>
          <w:rFonts w:cs="Times New Roman"/>
          <w:sz w:val="28"/>
          <w:szCs w:val="28"/>
        </w:rPr>
        <w:t>]</w:t>
      </w:r>
      <w:r w:rsidR="00B573D0" w:rsidRPr="00CC042E">
        <w:rPr>
          <w:rFonts w:cs="Times New Roman"/>
          <w:sz w:val="28"/>
          <w:szCs w:val="28"/>
        </w:rPr>
        <w:t xml:space="preserve"> </w:t>
      </w:r>
      <w:r w:rsidR="00B573D0" w:rsidRPr="000652D7">
        <w:rPr>
          <w:rFonts w:cs="Times New Roman"/>
          <w:b/>
          <w:sz w:val="28"/>
          <w:szCs w:val="28"/>
        </w:rPr>
        <w:t>Bảng</w:t>
      </w:r>
      <w:r w:rsidR="000652D7" w:rsidRPr="000652D7">
        <w:rPr>
          <w:rFonts w:cs="Times New Roman"/>
          <w:b/>
          <w:sz w:val="28"/>
          <w:szCs w:val="28"/>
        </w:rPr>
        <w:t xml:space="preserve"> 1</w:t>
      </w:r>
      <w:r w:rsidR="00B573D0" w:rsidRPr="00CC042E">
        <w:rPr>
          <w:rFonts w:cs="Times New Roman"/>
          <w:sz w:val="28"/>
          <w:szCs w:val="28"/>
        </w:rPr>
        <w:t xml:space="preserve"> tổng hợp các thuốc kháng virus đang được dùng ở Việt Nam và PF-07321332/Ritonavir</w:t>
      </w:r>
      <w:r w:rsidR="00102CEB" w:rsidRPr="00CC042E">
        <w:rPr>
          <w:rFonts w:cs="Times New Roman"/>
          <w:sz w:val="28"/>
          <w:szCs w:val="28"/>
        </w:rPr>
        <w:t>.</w:t>
      </w:r>
    </w:p>
    <w:tbl>
      <w:tblPr>
        <w:tblStyle w:val="TableGrid"/>
        <w:tblW w:w="10916" w:type="dxa"/>
        <w:tblInd w:w="-318" w:type="dxa"/>
        <w:tblLayout w:type="fixed"/>
        <w:tblLook w:val="04A0" w:firstRow="1" w:lastRow="0" w:firstColumn="1" w:lastColumn="0" w:noHBand="0" w:noVBand="1"/>
      </w:tblPr>
      <w:tblGrid>
        <w:gridCol w:w="1277"/>
        <w:gridCol w:w="3118"/>
        <w:gridCol w:w="1560"/>
        <w:gridCol w:w="2126"/>
        <w:gridCol w:w="2835"/>
      </w:tblGrid>
      <w:tr w:rsidR="00D44784" w:rsidRPr="00CC042E" w:rsidTr="00D44784">
        <w:tc>
          <w:tcPr>
            <w:tcW w:w="10916" w:type="dxa"/>
            <w:gridSpan w:val="5"/>
            <w:tcBorders>
              <w:top w:val="nil"/>
              <w:left w:val="nil"/>
              <w:bottom w:val="single" w:sz="4" w:space="0" w:color="auto"/>
              <w:right w:val="nil"/>
            </w:tcBorders>
            <w:vAlign w:val="center"/>
          </w:tcPr>
          <w:p w:rsidR="00D44784" w:rsidRPr="00C55176" w:rsidRDefault="00D44784" w:rsidP="00D44784">
            <w:pPr>
              <w:rPr>
                <w:rFonts w:cs="Times New Roman"/>
                <w:b/>
                <w:sz w:val="28"/>
                <w:szCs w:val="28"/>
              </w:rPr>
            </w:pPr>
            <w:r w:rsidRPr="00D44784">
              <w:rPr>
                <w:rFonts w:cs="Times New Roman"/>
                <w:b/>
                <w:i/>
                <w:sz w:val="28"/>
                <w:szCs w:val="28"/>
              </w:rPr>
              <w:t xml:space="preserve">Bảng 1. </w:t>
            </w:r>
            <w:r w:rsidRPr="00D44784">
              <w:rPr>
                <w:rFonts w:cs="Times New Roman"/>
                <w:i/>
                <w:sz w:val="28"/>
                <w:szCs w:val="28"/>
              </w:rPr>
              <w:t>Một số thuốc kháng virus.</w:t>
            </w:r>
          </w:p>
        </w:tc>
      </w:tr>
      <w:tr w:rsidR="00C55176" w:rsidRPr="00CC042E" w:rsidTr="00B5620D">
        <w:tc>
          <w:tcPr>
            <w:tcW w:w="1277" w:type="dxa"/>
            <w:tcBorders>
              <w:top w:val="single" w:sz="4" w:space="0" w:color="auto"/>
            </w:tcBorders>
            <w:vAlign w:val="center"/>
          </w:tcPr>
          <w:p w:rsidR="003C14AC" w:rsidRPr="00C55176" w:rsidRDefault="003C14AC" w:rsidP="00C55176">
            <w:pPr>
              <w:tabs>
                <w:tab w:val="left" w:pos="1178"/>
              </w:tabs>
              <w:jc w:val="center"/>
              <w:rPr>
                <w:rFonts w:cs="Times New Roman"/>
                <w:b/>
                <w:sz w:val="28"/>
                <w:szCs w:val="28"/>
              </w:rPr>
            </w:pPr>
            <w:r w:rsidRPr="00C55176">
              <w:rPr>
                <w:rFonts w:cs="Times New Roman"/>
                <w:b/>
                <w:sz w:val="28"/>
                <w:szCs w:val="28"/>
              </w:rPr>
              <w:t>Nhóm</w:t>
            </w:r>
          </w:p>
        </w:tc>
        <w:tc>
          <w:tcPr>
            <w:tcW w:w="3118" w:type="dxa"/>
            <w:tcBorders>
              <w:top w:val="single" w:sz="4" w:space="0" w:color="auto"/>
            </w:tcBorders>
            <w:vAlign w:val="center"/>
          </w:tcPr>
          <w:p w:rsidR="003C14AC" w:rsidRPr="00C55176" w:rsidRDefault="003C14AC" w:rsidP="00C55176">
            <w:pPr>
              <w:jc w:val="center"/>
              <w:rPr>
                <w:rFonts w:cs="Times New Roman"/>
                <w:b/>
                <w:sz w:val="28"/>
                <w:szCs w:val="28"/>
              </w:rPr>
            </w:pPr>
            <w:r w:rsidRPr="00C55176">
              <w:rPr>
                <w:rFonts w:cs="Times New Roman"/>
                <w:b/>
                <w:sz w:val="28"/>
                <w:szCs w:val="28"/>
              </w:rPr>
              <w:t>Thu</w:t>
            </w:r>
            <w:r w:rsidR="00ED1F1D" w:rsidRPr="00C55176">
              <w:rPr>
                <w:rFonts w:cs="Times New Roman"/>
                <w:b/>
                <w:sz w:val="28"/>
                <w:szCs w:val="28"/>
              </w:rPr>
              <w:t>ốc</w:t>
            </w:r>
          </w:p>
        </w:tc>
        <w:tc>
          <w:tcPr>
            <w:tcW w:w="1560" w:type="dxa"/>
            <w:tcBorders>
              <w:top w:val="single" w:sz="4" w:space="0" w:color="auto"/>
            </w:tcBorders>
            <w:vAlign w:val="center"/>
          </w:tcPr>
          <w:p w:rsidR="003C14AC" w:rsidRPr="00C55176" w:rsidRDefault="003C14AC" w:rsidP="00C55176">
            <w:pPr>
              <w:jc w:val="center"/>
              <w:rPr>
                <w:rFonts w:cs="Times New Roman"/>
                <w:b/>
                <w:sz w:val="28"/>
                <w:szCs w:val="28"/>
              </w:rPr>
            </w:pPr>
            <w:r w:rsidRPr="00C55176">
              <w:rPr>
                <w:rFonts w:cs="Times New Roman"/>
                <w:b/>
                <w:sz w:val="28"/>
                <w:szCs w:val="28"/>
              </w:rPr>
              <w:t>Vị trí tác động</w:t>
            </w:r>
          </w:p>
        </w:tc>
        <w:tc>
          <w:tcPr>
            <w:tcW w:w="2126" w:type="dxa"/>
            <w:tcBorders>
              <w:top w:val="single" w:sz="4" w:space="0" w:color="auto"/>
            </w:tcBorders>
            <w:vAlign w:val="center"/>
          </w:tcPr>
          <w:p w:rsidR="003C14AC" w:rsidRPr="00C55176" w:rsidRDefault="003C14AC" w:rsidP="00C55176">
            <w:pPr>
              <w:jc w:val="center"/>
              <w:rPr>
                <w:rFonts w:cs="Times New Roman"/>
                <w:b/>
                <w:sz w:val="28"/>
                <w:szCs w:val="28"/>
              </w:rPr>
            </w:pPr>
            <w:r w:rsidRPr="00C55176">
              <w:rPr>
                <w:rFonts w:cs="Times New Roman"/>
                <w:b/>
                <w:sz w:val="28"/>
                <w:szCs w:val="28"/>
              </w:rPr>
              <w:t>Chỉ định</w:t>
            </w:r>
          </w:p>
        </w:tc>
        <w:tc>
          <w:tcPr>
            <w:tcW w:w="2835" w:type="dxa"/>
            <w:tcBorders>
              <w:top w:val="single" w:sz="4" w:space="0" w:color="auto"/>
            </w:tcBorders>
            <w:vAlign w:val="center"/>
          </w:tcPr>
          <w:p w:rsidR="003C14AC" w:rsidRPr="00C55176" w:rsidRDefault="003C14AC" w:rsidP="00C55176">
            <w:pPr>
              <w:jc w:val="center"/>
              <w:rPr>
                <w:rFonts w:cs="Times New Roman"/>
                <w:b/>
                <w:sz w:val="28"/>
                <w:szCs w:val="28"/>
              </w:rPr>
            </w:pPr>
            <w:r w:rsidRPr="00C55176">
              <w:rPr>
                <w:rFonts w:cs="Times New Roman"/>
                <w:b/>
                <w:sz w:val="28"/>
                <w:szCs w:val="28"/>
              </w:rPr>
              <w:t>Liều dùng</w:t>
            </w:r>
          </w:p>
        </w:tc>
      </w:tr>
      <w:tr w:rsidR="00C55176" w:rsidRPr="00CC042E" w:rsidTr="00B5620D">
        <w:tc>
          <w:tcPr>
            <w:tcW w:w="1277" w:type="dxa"/>
            <w:vMerge w:val="restart"/>
            <w:vAlign w:val="center"/>
          </w:tcPr>
          <w:p w:rsidR="00033F67" w:rsidRPr="00B5620D" w:rsidRDefault="00033F67" w:rsidP="00B5620D">
            <w:pPr>
              <w:rPr>
                <w:sz w:val="28"/>
                <w:szCs w:val="28"/>
              </w:rPr>
            </w:pPr>
          </w:p>
          <w:p w:rsidR="00B5620D" w:rsidRDefault="00B5620D" w:rsidP="00B5620D">
            <w:pPr>
              <w:rPr>
                <w:sz w:val="28"/>
                <w:szCs w:val="28"/>
              </w:rPr>
            </w:pPr>
          </w:p>
          <w:p w:rsidR="00B5620D" w:rsidRDefault="00B5620D" w:rsidP="00B5620D">
            <w:pPr>
              <w:rPr>
                <w:sz w:val="28"/>
                <w:szCs w:val="28"/>
              </w:rPr>
            </w:pPr>
          </w:p>
          <w:p w:rsidR="00B5620D" w:rsidRDefault="00B5620D" w:rsidP="00B5620D">
            <w:pPr>
              <w:rPr>
                <w:sz w:val="28"/>
                <w:szCs w:val="28"/>
              </w:rPr>
            </w:pPr>
          </w:p>
          <w:p w:rsidR="00B5620D" w:rsidRDefault="00B5620D" w:rsidP="00B5620D">
            <w:pPr>
              <w:rPr>
                <w:sz w:val="28"/>
                <w:szCs w:val="28"/>
              </w:rPr>
            </w:pPr>
          </w:p>
          <w:p w:rsidR="00B5620D" w:rsidRDefault="00B5620D" w:rsidP="00B5620D">
            <w:pPr>
              <w:rPr>
                <w:sz w:val="28"/>
                <w:szCs w:val="28"/>
              </w:rPr>
            </w:pPr>
          </w:p>
          <w:p w:rsidR="00B5620D" w:rsidRDefault="00B5620D" w:rsidP="00B5620D">
            <w:pPr>
              <w:rPr>
                <w:sz w:val="28"/>
                <w:szCs w:val="28"/>
              </w:rPr>
            </w:pPr>
          </w:p>
          <w:p w:rsidR="00B5620D" w:rsidRPr="00960C7D" w:rsidRDefault="00ED1F1D" w:rsidP="00960C7D">
            <w:pPr>
              <w:jc w:val="both"/>
              <w:rPr>
                <w:rFonts w:cs="Times New Roman"/>
                <w:sz w:val="28"/>
                <w:szCs w:val="28"/>
              </w:rPr>
            </w:pPr>
            <w:r w:rsidRPr="00960C7D">
              <w:rPr>
                <w:rFonts w:cs="Times New Roman"/>
                <w:sz w:val="28"/>
                <w:szCs w:val="28"/>
              </w:rPr>
              <w:t>Chất ức chế RNA của virus</w:t>
            </w:r>
          </w:p>
          <w:p w:rsidR="00B5620D" w:rsidRPr="00B5620D" w:rsidRDefault="00B5620D" w:rsidP="00B5620D">
            <w:pPr>
              <w:rPr>
                <w:sz w:val="28"/>
                <w:szCs w:val="28"/>
              </w:rPr>
            </w:pPr>
          </w:p>
          <w:p w:rsidR="00B5620D" w:rsidRPr="00B5620D" w:rsidRDefault="00B5620D" w:rsidP="00B5620D">
            <w:pPr>
              <w:rPr>
                <w:sz w:val="28"/>
                <w:szCs w:val="28"/>
              </w:rPr>
            </w:pPr>
          </w:p>
          <w:p w:rsidR="00ED1F1D" w:rsidRPr="00B5620D" w:rsidRDefault="00ED1F1D" w:rsidP="00B5620D">
            <w:pPr>
              <w:rPr>
                <w:sz w:val="28"/>
                <w:szCs w:val="28"/>
              </w:rPr>
            </w:pPr>
          </w:p>
        </w:tc>
        <w:tc>
          <w:tcPr>
            <w:tcW w:w="3118" w:type="dxa"/>
          </w:tcPr>
          <w:p w:rsidR="00ED1F1D" w:rsidRPr="00CC042E" w:rsidRDefault="00ED1F1D" w:rsidP="003C14AC">
            <w:pPr>
              <w:rPr>
                <w:rFonts w:cs="Times New Roman"/>
                <w:noProof/>
                <w:sz w:val="28"/>
                <w:szCs w:val="28"/>
              </w:rPr>
            </w:pPr>
            <w:r w:rsidRPr="00CC042E">
              <w:rPr>
                <w:rFonts w:cs="Times New Roman"/>
                <w:noProof/>
                <w:sz w:val="28"/>
                <w:szCs w:val="28"/>
              </w:rPr>
              <w:lastRenderedPageBreak/>
              <w:t>Remdesivir</w:t>
            </w:r>
          </w:p>
          <w:p w:rsidR="00ED1F1D" w:rsidRPr="00CC042E" w:rsidRDefault="00C55176" w:rsidP="003C14AC">
            <w:pPr>
              <w:rPr>
                <w:rFonts w:cs="Times New Roman"/>
                <w:noProof/>
                <w:sz w:val="28"/>
                <w:szCs w:val="28"/>
              </w:rPr>
            </w:pPr>
            <w:r w:rsidRPr="00CC042E">
              <w:rPr>
                <w:rFonts w:cs="Times New Roman"/>
                <w:noProof/>
                <w:sz w:val="28"/>
                <w:szCs w:val="28"/>
              </w:rPr>
              <w:lastRenderedPageBreak/>
              <w:drawing>
                <wp:anchor distT="0" distB="0" distL="114300" distR="114300" simplePos="0" relativeHeight="251720192" behindDoc="1" locked="0" layoutInCell="1" allowOverlap="1" wp14:anchorId="0D8AA2FD" wp14:editId="1A9B6F5F">
                  <wp:simplePos x="0" y="0"/>
                  <wp:positionH relativeFrom="column">
                    <wp:posOffset>17500</wp:posOffset>
                  </wp:positionH>
                  <wp:positionV relativeFrom="page">
                    <wp:posOffset>468811</wp:posOffset>
                  </wp:positionV>
                  <wp:extent cx="1888490" cy="1044575"/>
                  <wp:effectExtent l="0" t="0" r="0" b="3175"/>
                  <wp:wrapTight wrapText="bothSides">
                    <wp:wrapPolygon edited="0">
                      <wp:start x="0" y="0"/>
                      <wp:lineTo x="0" y="21272"/>
                      <wp:lineTo x="21353" y="21272"/>
                      <wp:lineTo x="2135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88490" cy="1044575"/>
                          </a:xfrm>
                          <a:prstGeom prst="rect">
                            <a:avLst/>
                          </a:prstGeom>
                        </pic:spPr>
                      </pic:pic>
                    </a:graphicData>
                  </a:graphic>
                  <wp14:sizeRelH relativeFrom="margin">
                    <wp14:pctWidth>0</wp14:pctWidth>
                  </wp14:sizeRelH>
                  <wp14:sizeRelV relativeFrom="margin">
                    <wp14:pctHeight>0</wp14:pctHeight>
                  </wp14:sizeRelV>
                </wp:anchor>
              </w:drawing>
            </w:r>
          </w:p>
        </w:tc>
        <w:tc>
          <w:tcPr>
            <w:tcW w:w="1560" w:type="dxa"/>
          </w:tcPr>
          <w:p w:rsidR="00ED1F1D" w:rsidRPr="00CC042E" w:rsidRDefault="00143324" w:rsidP="003C14AC">
            <w:pPr>
              <w:jc w:val="both"/>
              <w:rPr>
                <w:rFonts w:cs="Times New Roman"/>
                <w:sz w:val="28"/>
                <w:szCs w:val="28"/>
                <w:shd w:val="clear" w:color="auto" w:fill="FFFFFF"/>
              </w:rPr>
            </w:pPr>
            <w:r w:rsidRPr="00CC042E">
              <w:rPr>
                <w:rFonts w:cs="Times New Roman"/>
                <w:sz w:val="28"/>
                <w:szCs w:val="28"/>
                <w:shd w:val="clear" w:color="auto" w:fill="FFFFFF"/>
              </w:rPr>
              <w:lastRenderedPageBreak/>
              <w:t>RNA-</w:t>
            </w:r>
            <w:r w:rsidRPr="00CC042E">
              <w:rPr>
                <w:rFonts w:cs="Times New Roman"/>
                <w:sz w:val="28"/>
                <w:szCs w:val="28"/>
                <w:shd w:val="clear" w:color="auto" w:fill="FFFFFF"/>
              </w:rPr>
              <w:lastRenderedPageBreak/>
              <w:t>dependent RNA polymerase (RdRp) enzymes</w:t>
            </w:r>
          </w:p>
        </w:tc>
        <w:tc>
          <w:tcPr>
            <w:tcW w:w="2126" w:type="dxa"/>
          </w:tcPr>
          <w:p w:rsidR="00ED1F1D" w:rsidRPr="00CC042E" w:rsidRDefault="00AD79B4" w:rsidP="003C14AC">
            <w:pPr>
              <w:jc w:val="both"/>
              <w:rPr>
                <w:rFonts w:cs="Times New Roman"/>
                <w:sz w:val="28"/>
                <w:szCs w:val="28"/>
              </w:rPr>
            </w:pPr>
            <w:r w:rsidRPr="00CC042E">
              <w:rPr>
                <w:rFonts w:cs="Times New Roman"/>
                <w:sz w:val="28"/>
                <w:szCs w:val="28"/>
              </w:rPr>
              <w:lastRenderedPageBreak/>
              <w:t xml:space="preserve">Bệnh nhân nội </w:t>
            </w:r>
            <w:r w:rsidRPr="00CC042E">
              <w:rPr>
                <w:rFonts w:cs="Times New Roman"/>
                <w:sz w:val="28"/>
                <w:szCs w:val="28"/>
              </w:rPr>
              <w:lastRenderedPageBreak/>
              <w:t>trú khởi phát bệnh chưa quá 10 ngày có suy hô hấp phải thở oxy, thở oxy lưu lượng dòng cao (HFNC), hoặc thở máy không xâm nhập [</w:t>
            </w:r>
            <w:r w:rsidR="005D79B7">
              <w:rPr>
                <w:rFonts w:cs="Times New Roman"/>
                <w:sz w:val="28"/>
                <w:szCs w:val="28"/>
              </w:rPr>
              <w:t>1</w:t>
            </w:r>
            <w:r w:rsidRPr="00CC042E">
              <w:rPr>
                <w:rFonts w:cs="Times New Roman"/>
                <w:sz w:val="28"/>
                <w:szCs w:val="28"/>
              </w:rPr>
              <w:t>]</w:t>
            </w:r>
          </w:p>
        </w:tc>
        <w:tc>
          <w:tcPr>
            <w:tcW w:w="2835" w:type="dxa"/>
          </w:tcPr>
          <w:p w:rsidR="009521A9" w:rsidRPr="00CC042E" w:rsidRDefault="00AD79B4" w:rsidP="003C14AC">
            <w:pPr>
              <w:jc w:val="both"/>
              <w:rPr>
                <w:rFonts w:cs="Times New Roman"/>
                <w:sz w:val="28"/>
                <w:szCs w:val="28"/>
              </w:rPr>
            </w:pPr>
            <w:r w:rsidRPr="00CC042E">
              <w:rPr>
                <w:rFonts w:cs="Times New Roman"/>
                <w:sz w:val="28"/>
                <w:szCs w:val="28"/>
              </w:rPr>
              <w:lastRenderedPageBreak/>
              <w:t xml:space="preserve">+ Người ≥ 12 tuổi và </w:t>
            </w:r>
            <w:r w:rsidRPr="00CC042E">
              <w:rPr>
                <w:rFonts w:cs="Times New Roman"/>
                <w:sz w:val="28"/>
                <w:szCs w:val="28"/>
              </w:rPr>
              <w:lastRenderedPageBreak/>
              <w:t xml:space="preserve">cân nặng &gt; 40kg: Ngày đầu 200mg, những ngày sau 100mg/ngày, truyền tĩnh mạch 1 lần trong 30 – 120 phút. </w:t>
            </w:r>
          </w:p>
          <w:p w:rsidR="00ED1F1D" w:rsidRPr="00CC042E" w:rsidRDefault="00AD79B4" w:rsidP="003C14AC">
            <w:pPr>
              <w:jc w:val="both"/>
              <w:rPr>
                <w:rFonts w:cs="Times New Roman"/>
                <w:sz w:val="28"/>
                <w:szCs w:val="28"/>
              </w:rPr>
            </w:pPr>
            <w:r w:rsidRPr="00CC042E">
              <w:rPr>
                <w:rFonts w:cs="Times New Roman"/>
                <w:sz w:val="28"/>
                <w:szCs w:val="28"/>
              </w:rPr>
              <w:t>+ Người &lt; 12 tuổi hoặc cân nặng 3,5 kg – 40 kg (EUA): Ngày đầu 5 mg/kg, các ngày sau 2,5 mg/kg, truyền tĩnh mạch 1 lần trong 30 – 120 phút. + Thời gian điều trị: 5 ngày.</w:t>
            </w:r>
            <w:r w:rsidR="009521A9" w:rsidRPr="00CC042E">
              <w:rPr>
                <w:rFonts w:cs="Times New Roman"/>
                <w:sz w:val="28"/>
                <w:szCs w:val="28"/>
              </w:rPr>
              <w:t xml:space="preserve"> [</w:t>
            </w:r>
            <w:r w:rsidR="005D79B7">
              <w:rPr>
                <w:rFonts w:cs="Times New Roman"/>
                <w:sz w:val="28"/>
                <w:szCs w:val="28"/>
              </w:rPr>
              <w:t>1</w:t>
            </w:r>
            <w:r w:rsidR="009521A9" w:rsidRPr="00CC042E">
              <w:rPr>
                <w:rFonts w:cs="Times New Roman"/>
                <w:sz w:val="28"/>
                <w:szCs w:val="28"/>
              </w:rPr>
              <w:t>]</w:t>
            </w:r>
          </w:p>
        </w:tc>
      </w:tr>
      <w:tr w:rsidR="00C55176" w:rsidRPr="00CC042E" w:rsidTr="00B5620D">
        <w:tc>
          <w:tcPr>
            <w:tcW w:w="1277" w:type="dxa"/>
            <w:vMerge/>
          </w:tcPr>
          <w:p w:rsidR="00ED1F1D" w:rsidRPr="00CC042E" w:rsidRDefault="00ED1F1D" w:rsidP="003C14AC">
            <w:pPr>
              <w:rPr>
                <w:rFonts w:cs="Times New Roman"/>
                <w:sz w:val="28"/>
                <w:szCs w:val="28"/>
                <w:shd w:val="clear" w:color="auto" w:fill="FCFCFC"/>
              </w:rPr>
            </w:pPr>
          </w:p>
        </w:tc>
        <w:tc>
          <w:tcPr>
            <w:tcW w:w="3118" w:type="dxa"/>
          </w:tcPr>
          <w:p w:rsidR="00ED1F1D" w:rsidRPr="00CC042E" w:rsidRDefault="00ED1F1D" w:rsidP="003C14AC">
            <w:pPr>
              <w:rPr>
                <w:rFonts w:cs="Times New Roman"/>
                <w:sz w:val="28"/>
                <w:szCs w:val="28"/>
                <w:shd w:val="clear" w:color="auto" w:fill="FCFCFC"/>
              </w:rPr>
            </w:pPr>
            <w:r w:rsidRPr="00CC042E">
              <w:rPr>
                <w:rFonts w:cs="Times New Roman"/>
                <w:sz w:val="28"/>
                <w:szCs w:val="28"/>
                <w:shd w:val="clear" w:color="auto" w:fill="FCFCFC"/>
              </w:rPr>
              <w:t>Favipiravir</w:t>
            </w:r>
          </w:p>
          <w:p w:rsidR="00ED1F1D" w:rsidRPr="00CC042E" w:rsidRDefault="00C55176" w:rsidP="003C14AC">
            <w:pPr>
              <w:rPr>
                <w:rFonts w:cs="Times New Roman"/>
                <w:sz w:val="28"/>
                <w:szCs w:val="28"/>
              </w:rPr>
            </w:pPr>
            <w:r w:rsidRPr="00CC042E">
              <w:rPr>
                <w:rFonts w:cs="Times New Roman"/>
                <w:noProof/>
                <w:sz w:val="28"/>
                <w:szCs w:val="28"/>
              </w:rPr>
              <w:drawing>
                <wp:anchor distT="0" distB="0" distL="114300" distR="114300" simplePos="0" relativeHeight="251671040" behindDoc="1" locked="0" layoutInCell="1" allowOverlap="1" wp14:anchorId="0CF6732B" wp14:editId="65ACE1E8">
                  <wp:simplePos x="0" y="0"/>
                  <wp:positionH relativeFrom="column">
                    <wp:posOffset>17145</wp:posOffset>
                  </wp:positionH>
                  <wp:positionV relativeFrom="page">
                    <wp:posOffset>436880</wp:posOffset>
                  </wp:positionV>
                  <wp:extent cx="1951355" cy="1475105"/>
                  <wp:effectExtent l="0" t="0" r="0" b="0"/>
                  <wp:wrapTight wrapText="bothSides">
                    <wp:wrapPolygon edited="0">
                      <wp:start x="0" y="0"/>
                      <wp:lineTo x="0" y="21200"/>
                      <wp:lineTo x="21298" y="21200"/>
                      <wp:lineTo x="212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951355" cy="1475105"/>
                          </a:xfrm>
                          <a:prstGeom prst="rect">
                            <a:avLst/>
                          </a:prstGeom>
                        </pic:spPr>
                      </pic:pic>
                    </a:graphicData>
                  </a:graphic>
                  <wp14:sizeRelH relativeFrom="margin">
                    <wp14:pctWidth>0</wp14:pctWidth>
                  </wp14:sizeRelH>
                  <wp14:sizeRelV relativeFrom="margin">
                    <wp14:pctHeight>0</wp14:pctHeight>
                  </wp14:sizeRelV>
                </wp:anchor>
              </w:drawing>
            </w:r>
          </w:p>
        </w:tc>
        <w:tc>
          <w:tcPr>
            <w:tcW w:w="1560" w:type="dxa"/>
          </w:tcPr>
          <w:p w:rsidR="00ED1F1D" w:rsidRPr="00CC042E" w:rsidRDefault="00ED1F1D" w:rsidP="003C14AC">
            <w:pPr>
              <w:jc w:val="both"/>
              <w:rPr>
                <w:rFonts w:cs="Times New Roman"/>
                <w:sz w:val="28"/>
                <w:szCs w:val="28"/>
              </w:rPr>
            </w:pPr>
            <w:r w:rsidRPr="00CC042E">
              <w:rPr>
                <w:rFonts w:cs="Times New Roman"/>
                <w:sz w:val="28"/>
                <w:szCs w:val="28"/>
                <w:shd w:val="clear" w:color="auto" w:fill="FFFFFF"/>
              </w:rPr>
              <w:t>RNA-dependent RNA polymerase (RdRp) enzymes</w:t>
            </w:r>
          </w:p>
        </w:tc>
        <w:tc>
          <w:tcPr>
            <w:tcW w:w="2126" w:type="dxa"/>
          </w:tcPr>
          <w:p w:rsidR="00ED1F1D" w:rsidRPr="00CC042E" w:rsidRDefault="00ED1F1D" w:rsidP="003C14AC">
            <w:pPr>
              <w:jc w:val="both"/>
              <w:rPr>
                <w:rFonts w:cs="Times New Roman"/>
                <w:sz w:val="28"/>
                <w:szCs w:val="28"/>
              </w:rPr>
            </w:pPr>
            <w:r w:rsidRPr="00CC042E">
              <w:rPr>
                <w:rFonts w:cs="Times New Roman"/>
                <w:sz w:val="28"/>
                <w:szCs w:val="28"/>
              </w:rPr>
              <w:t>Bệnh nhân COVID-19 mức độ nhẹ [</w:t>
            </w:r>
            <w:r w:rsidR="005D79B7">
              <w:rPr>
                <w:rFonts w:cs="Times New Roman"/>
                <w:sz w:val="28"/>
                <w:szCs w:val="28"/>
              </w:rPr>
              <w:t>1</w:t>
            </w:r>
            <w:r w:rsidRPr="00CC042E">
              <w:rPr>
                <w:rFonts w:cs="Times New Roman"/>
                <w:sz w:val="28"/>
                <w:szCs w:val="28"/>
              </w:rPr>
              <w:t>]</w:t>
            </w:r>
          </w:p>
        </w:tc>
        <w:tc>
          <w:tcPr>
            <w:tcW w:w="2835" w:type="dxa"/>
          </w:tcPr>
          <w:p w:rsidR="00ED1F1D" w:rsidRDefault="00ED1F1D" w:rsidP="003C14AC">
            <w:pPr>
              <w:jc w:val="both"/>
              <w:rPr>
                <w:rFonts w:cs="Times New Roman"/>
                <w:sz w:val="28"/>
                <w:szCs w:val="28"/>
              </w:rPr>
            </w:pPr>
            <w:r w:rsidRPr="00CC042E">
              <w:rPr>
                <w:rFonts w:cs="Times New Roman"/>
                <w:sz w:val="28"/>
                <w:szCs w:val="28"/>
              </w:rPr>
              <w:t>- Liều dùng: ngày đầu uống 1600mg/lần x 2 lần/ngày, các ngày sau uống 600 mg/lần x 2 lần/ngày - Thời gian điều trị: 7- 14 ngày [</w:t>
            </w:r>
            <w:r w:rsidR="005D79B7">
              <w:rPr>
                <w:rFonts w:cs="Times New Roman"/>
                <w:sz w:val="28"/>
                <w:szCs w:val="28"/>
              </w:rPr>
              <w:t>1</w:t>
            </w:r>
            <w:r w:rsidRPr="00CC042E">
              <w:rPr>
                <w:rFonts w:cs="Times New Roman"/>
                <w:sz w:val="28"/>
                <w:szCs w:val="28"/>
              </w:rPr>
              <w:t>]</w:t>
            </w:r>
          </w:p>
          <w:p w:rsidR="00C55176" w:rsidRDefault="00C55176" w:rsidP="003C14AC">
            <w:pPr>
              <w:jc w:val="both"/>
              <w:rPr>
                <w:rFonts w:cs="Times New Roman"/>
                <w:sz w:val="28"/>
                <w:szCs w:val="28"/>
              </w:rPr>
            </w:pPr>
          </w:p>
          <w:p w:rsidR="00C55176" w:rsidRDefault="00C55176" w:rsidP="003C14AC">
            <w:pPr>
              <w:jc w:val="both"/>
              <w:rPr>
                <w:rFonts w:cs="Times New Roman"/>
                <w:sz w:val="28"/>
                <w:szCs w:val="28"/>
              </w:rPr>
            </w:pPr>
          </w:p>
          <w:p w:rsidR="00C55176" w:rsidRDefault="00C55176" w:rsidP="003C14AC">
            <w:pPr>
              <w:jc w:val="both"/>
              <w:rPr>
                <w:rFonts w:cs="Times New Roman"/>
                <w:sz w:val="28"/>
                <w:szCs w:val="28"/>
              </w:rPr>
            </w:pPr>
          </w:p>
          <w:p w:rsidR="00C55176" w:rsidRDefault="00C55176" w:rsidP="003C14AC">
            <w:pPr>
              <w:jc w:val="both"/>
              <w:rPr>
                <w:rFonts w:cs="Times New Roman"/>
                <w:sz w:val="28"/>
                <w:szCs w:val="28"/>
              </w:rPr>
            </w:pPr>
          </w:p>
          <w:p w:rsidR="00C55176" w:rsidRDefault="00C55176" w:rsidP="003C14AC">
            <w:pPr>
              <w:jc w:val="both"/>
              <w:rPr>
                <w:rFonts w:cs="Times New Roman"/>
                <w:sz w:val="28"/>
                <w:szCs w:val="28"/>
              </w:rPr>
            </w:pPr>
          </w:p>
          <w:p w:rsidR="00C55176" w:rsidRPr="00CC042E" w:rsidRDefault="00C55176" w:rsidP="003C14AC">
            <w:pPr>
              <w:jc w:val="both"/>
              <w:rPr>
                <w:rFonts w:cs="Times New Roman"/>
                <w:sz w:val="28"/>
                <w:szCs w:val="28"/>
              </w:rPr>
            </w:pPr>
          </w:p>
        </w:tc>
      </w:tr>
      <w:tr w:rsidR="00C55176" w:rsidRPr="00CC042E" w:rsidTr="00B5620D">
        <w:tc>
          <w:tcPr>
            <w:tcW w:w="1277" w:type="dxa"/>
            <w:vMerge/>
          </w:tcPr>
          <w:p w:rsidR="00ED1F1D" w:rsidRPr="00CC042E" w:rsidRDefault="00ED1F1D" w:rsidP="003C14AC">
            <w:pPr>
              <w:rPr>
                <w:rFonts w:cs="Times New Roman"/>
                <w:sz w:val="28"/>
                <w:szCs w:val="28"/>
              </w:rPr>
            </w:pPr>
          </w:p>
        </w:tc>
        <w:tc>
          <w:tcPr>
            <w:tcW w:w="3118" w:type="dxa"/>
          </w:tcPr>
          <w:p w:rsidR="00ED1F1D" w:rsidRPr="00CC042E" w:rsidRDefault="00C55176" w:rsidP="003C14AC">
            <w:pPr>
              <w:rPr>
                <w:rFonts w:cs="Times New Roman"/>
                <w:sz w:val="28"/>
                <w:szCs w:val="28"/>
              </w:rPr>
            </w:pPr>
            <w:r w:rsidRPr="00CC042E">
              <w:rPr>
                <w:rFonts w:cs="Times New Roman"/>
                <w:noProof/>
                <w:sz w:val="28"/>
                <w:szCs w:val="28"/>
              </w:rPr>
              <w:drawing>
                <wp:anchor distT="0" distB="0" distL="114300" distR="114300" simplePos="0" relativeHeight="251694592" behindDoc="1" locked="0" layoutInCell="1" allowOverlap="1" wp14:anchorId="426BAB99" wp14:editId="37A2D63D">
                  <wp:simplePos x="0" y="0"/>
                  <wp:positionH relativeFrom="column">
                    <wp:posOffset>17500</wp:posOffset>
                  </wp:positionH>
                  <wp:positionV relativeFrom="page">
                    <wp:posOffset>367558</wp:posOffset>
                  </wp:positionV>
                  <wp:extent cx="2030095" cy="1044575"/>
                  <wp:effectExtent l="0" t="0" r="8255" b="3175"/>
                  <wp:wrapTight wrapText="bothSides">
                    <wp:wrapPolygon edited="0">
                      <wp:start x="0" y="0"/>
                      <wp:lineTo x="0" y="21272"/>
                      <wp:lineTo x="21485" y="21272"/>
                      <wp:lineTo x="214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030095" cy="1044575"/>
                          </a:xfrm>
                          <a:prstGeom prst="rect">
                            <a:avLst/>
                          </a:prstGeom>
                        </pic:spPr>
                      </pic:pic>
                    </a:graphicData>
                  </a:graphic>
                  <wp14:sizeRelH relativeFrom="margin">
                    <wp14:pctWidth>0</wp14:pctWidth>
                  </wp14:sizeRelH>
                  <wp14:sizeRelV relativeFrom="margin">
                    <wp14:pctHeight>0</wp14:pctHeight>
                  </wp14:sizeRelV>
                </wp:anchor>
              </w:drawing>
            </w:r>
            <w:r w:rsidR="00ED1F1D" w:rsidRPr="00CC042E">
              <w:rPr>
                <w:rFonts w:cs="Times New Roman"/>
                <w:sz w:val="28"/>
                <w:szCs w:val="28"/>
              </w:rPr>
              <w:t>Molnupiravir</w:t>
            </w:r>
          </w:p>
          <w:p w:rsidR="00ED1F1D" w:rsidRPr="00CC042E" w:rsidRDefault="00ED1F1D" w:rsidP="003C14AC">
            <w:pPr>
              <w:rPr>
                <w:rFonts w:cs="Times New Roman"/>
                <w:sz w:val="28"/>
                <w:szCs w:val="28"/>
              </w:rPr>
            </w:pPr>
          </w:p>
        </w:tc>
        <w:tc>
          <w:tcPr>
            <w:tcW w:w="1560" w:type="dxa"/>
          </w:tcPr>
          <w:p w:rsidR="00ED1F1D" w:rsidRPr="00CC042E" w:rsidRDefault="00ED1F1D" w:rsidP="003C14AC">
            <w:pPr>
              <w:jc w:val="both"/>
              <w:rPr>
                <w:rFonts w:cs="Times New Roman"/>
                <w:sz w:val="28"/>
                <w:szCs w:val="28"/>
              </w:rPr>
            </w:pPr>
            <w:r w:rsidRPr="00CC042E">
              <w:rPr>
                <w:rFonts w:cs="Times New Roman"/>
                <w:sz w:val="28"/>
                <w:szCs w:val="28"/>
                <w:shd w:val="clear" w:color="auto" w:fill="FFFFFF"/>
              </w:rPr>
              <w:t>RNA-dependent RNA polymerase (RdRp) enzymes</w:t>
            </w:r>
          </w:p>
        </w:tc>
        <w:tc>
          <w:tcPr>
            <w:tcW w:w="2126" w:type="dxa"/>
          </w:tcPr>
          <w:p w:rsidR="00ED1F1D" w:rsidRPr="00CC042E" w:rsidRDefault="00ED1F1D" w:rsidP="003C14AC">
            <w:pPr>
              <w:rPr>
                <w:rFonts w:cs="Times New Roman"/>
                <w:sz w:val="28"/>
                <w:szCs w:val="28"/>
              </w:rPr>
            </w:pPr>
            <w:r w:rsidRPr="00CC042E">
              <w:rPr>
                <w:rFonts w:cs="Times New Roman"/>
                <w:sz w:val="28"/>
                <w:szCs w:val="28"/>
              </w:rPr>
              <w:t>Bệnh nhân COVID-19 mức độ nhẹ [</w:t>
            </w:r>
            <w:r w:rsidR="005D79B7">
              <w:rPr>
                <w:rFonts w:cs="Times New Roman"/>
                <w:sz w:val="28"/>
                <w:szCs w:val="28"/>
              </w:rPr>
              <w:t>1</w:t>
            </w:r>
            <w:r w:rsidRPr="00CC042E">
              <w:rPr>
                <w:rFonts w:cs="Times New Roman"/>
                <w:sz w:val="28"/>
                <w:szCs w:val="28"/>
              </w:rPr>
              <w:t>]</w:t>
            </w:r>
          </w:p>
        </w:tc>
        <w:tc>
          <w:tcPr>
            <w:tcW w:w="2835" w:type="dxa"/>
          </w:tcPr>
          <w:p w:rsidR="00ED1F1D" w:rsidRPr="00CC042E" w:rsidRDefault="00ED1F1D" w:rsidP="003C14AC">
            <w:pPr>
              <w:rPr>
                <w:rFonts w:cs="Times New Roman"/>
                <w:sz w:val="28"/>
                <w:szCs w:val="28"/>
              </w:rPr>
            </w:pPr>
            <w:r w:rsidRPr="00CC042E">
              <w:rPr>
                <w:rFonts w:cs="Times New Roman"/>
                <w:sz w:val="28"/>
                <w:szCs w:val="28"/>
                <w:shd w:val="clear" w:color="auto" w:fill="FFFFFF"/>
              </w:rPr>
              <w:t>Uống ngày 02 lần: sáng 800mg, chiều 800mg, uống 05 ngày liên tục.</w:t>
            </w:r>
            <w:r w:rsidRPr="00CC042E">
              <w:rPr>
                <w:rFonts w:cs="Times New Roman"/>
                <w:sz w:val="28"/>
                <w:szCs w:val="28"/>
              </w:rPr>
              <w:t xml:space="preserve"> </w:t>
            </w:r>
          </w:p>
          <w:p w:rsidR="00ED1F1D" w:rsidRPr="00CC042E" w:rsidRDefault="00ED1F1D" w:rsidP="003C14AC">
            <w:pPr>
              <w:rPr>
                <w:rFonts w:cs="Times New Roman"/>
                <w:sz w:val="28"/>
                <w:szCs w:val="28"/>
              </w:rPr>
            </w:pPr>
            <w:r w:rsidRPr="00CC042E">
              <w:rPr>
                <w:rFonts w:cs="Times New Roman"/>
                <w:sz w:val="28"/>
                <w:szCs w:val="28"/>
              </w:rPr>
              <w:t>(Liều dùng trong thử nghiệm lâm sàng) [</w:t>
            </w:r>
            <w:r w:rsidR="005D79B7">
              <w:rPr>
                <w:rFonts w:cs="Times New Roman"/>
                <w:sz w:val="28"/>
                <w:szCs w:val="28"/>
              </w:rPr>
              <w:t>2</w:t>
            </w:r>
            <w:r w:rsidRPr="00CC042E">
              <w:rPr>
                <w:rFonts w:cs="Times New Roman"/>
                <w:sz w:val="28"/>
                <w:szCs w:val="28"/>
              </w:rPr>
              <w:t>]</w:t>
            </w:r>
          </w:p>
        </w:tc>
      </w:tr>
      <w:tr w:rsidR="00C55176" w:rsidRPr="00CC042E" w:rsidTr="00B5620D">
        <w:tc>
          <w:tcPr>
            <w:tcW w:w="1277" w:type="dxa"/>
            <w:vAlign w:val="center"/>
          </w:tcPr>
          <w:p w:rsidR="003C14AC" w:rsidRPr="00CC042E" w:rsidRDefault="00ED1F1D" w:rsidP="00960C7D">
            <w:pPr>
              <w:jc w:val="both"/>
              <w:rPr>
                <w:rFonts w:cs="Times New Roman"/>
                <w:sz w:val="28"/>
                <w:szCs w:val="28"/>
              </w:rPr>
            </w:pPr>
            <w:r w:rsidRPr="00CC042E">
              <w:rPr>
                <w:rFonts w:cs="Times New Roman"/>
                <w:sz w:val="28"/>
                <w:szCs w:val="28"/>
              </w:rPr>
              <w:lastRenderedPageBreak/>
              <w:t>C</w:t>
            </w:r>
            <w:r w:rsidR="00127B5F" w:rsidRPr="00CC042E">
              <w:rPr>
                <w:rFonts w:cs="Times New Roman"/>
                <w:sz w:val="28"/>
                <w:szCs w:val="28"/>
              </w:rPr>
              <w:t>hất ức chế protease của virus</w:t>
            </w:r>
          </w:p>
        </w:tc>
        <w:tc>
          <w:tcPr>
            <w:tcW w:w="3118" w:type="dxa"/>
          </w:tcPr>
          <w:p w:rsidR="003C14AC" w:rsidRPr="00CC042E" w:rsidRDefault="0060049D" w:rsidP="003C14AC">
            <w:pPr>
              <w:rPr>
                <w:rFonts w:cs="Times New Roman"/>
                <w:sz w:val="28"/>
                <w:szCs w:val="28"/>
              </w:rPr>
            </w:pPr>
            <w:r w:rsidRPr="00CC042E">
              <w:rPr>
                <w:rFonts w:cs="Times New Roman"/>
                <w:noProof/>
                <w:sz w:val="28"/>
                <w:szCs w:val="28"/>
              </w:rPr>
              <w:drawing>
                <wp:anchor distT="0" distB="0" distL="114300" distR="114300" simplePos="0" relativeHeight="251637248" behindDoc="1" locked="0" layoutInCell="1" allowOverlap="1" wp14:anchorId="0EBD30E1" wp14:editId="0B08E4BC">
                  <wp:simplePos x="0" y="0"/>
                  <wp:positionH relativeFrom="column">
                    <wp:posOffset>5715</wp:posOffset>
                  </wp:positionH>
                  <wp:positionV relativeFrom="page">
                    <wp:posOffset>499110</wp:posOffset>
                  </wp:positionV>
                  <wp:extent cx="1863725" cy="1569720"/>
                  <wp:effectExtent l="0" t="0" r="3175" b="0"/>
                  <wp:wrapTight wrapText="bothSides">
                    <wp:wrapPolygon edited="0">
                      <wp:start x="0" y="0"/>
                      <wp:lineTo x="0" y="21233"/>
                      <wp:lineTo x="21416" y="21233"/>
                      <wp:lineTo x="214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63725" cy="1569720"/>
                          </a:xfrm>
                          <a:prstGeom prst="rect">
                            <a:avLst/>
                          </a:prstGeom>
                        </pic:spPr>
                      </pic:pic>
                    </a:graphicData>
                  </a:graphic>
                  <wp14:sizeRelH relativeFrom="margin">
                    <wp14:pctWidth>0</wp14:pctWidth>
                  </wp14:sizeRelH>
                  <wp14:sizeRelV relativeFrom="margin">
                    <wp14:pctHeight>0</wp14:pctHeight>
                  </wp14:sizeRelV>
                </wp:anchor>
              </w:drawing>
            </w:r>
            <w:r w:rsidR="000B304F" w:rsidRPr="00CC042E">
              <w:rPr>
                <w:rFonts w:cs="Times New Roman"/>
                <w:sz w:val="28"/>
                <w:szCs w:val="28"/>
              </w:rPr>
              <w:t>PAXLOVID (PF-07321332/Ritonavir)</w:t>
            </w:r>
          </w:p>
          <w:p w:rsidR="00645052" w:rsidRPr="00CC042E" w:rsidRDefault="00645052" w:rsidP="003C14AC">
            <w:pPr>
              <w:rPr>
                <w:rFonts w:cs="Times New Roman"/>
                <w:sz w:val="28"/>
                <w:szCs w:val="28"/>
              </w:rPr>
            </w:pPr>
          </w:p>
        </w:tc>
        <w:tc>
          <w:tcPr>
            <w:tcW w:w="1560" w:type="dxa"/>
          </w:tcPr>
          <w:p w:rsidR="003C14AC" w:rsidRPr="00CC042E" w:rsidRDefault="00143324" w:rsidP="003C14AC">
            <w:pPr>
              <w:jc w:val="both"/>
              <w:rPr>
                <w:rFonts w:cs="Times New Roman"/>
                <w:sz w:val="28"/>
                <w:szCs w:val="28"/>
              </w:rPr>
            </w:pPr>
            <w:r w:rsidRPr="00CC042E">
              <w:rPr>
                <w:rFonts w:cs="Times New Roman"/>
                <w:sz w:val="28"/>
                <w:szCs w:val="28"/>
                <w:shd w:val="clear" w:color="auto" w:fill="FFFFFF"/>
              </w:rPr>
              <w:t>3CL</w:t>
            </w:r>
            <w:r w:rsidRPr="00CC042E">
              <w:rPr>
                <w:rFonts w:cs="Times New Roman"/>
                <w:sz w:val="28"/>
                <w:szCs w:val="28"/>
                <w:shd w:val="clear" w:color="auto" w:fill="FFFFFF"/>
                <w:vertAlign w:val="superscript"/>
              </w:rPr>
              <w:t xml:space="preserve">pro </w:t>
            </w:r>
            <w:r w:rsidRPr="00CC042E">
              <w:rPr>
                <w:rFonts w:cs="Times New Roman"/>
                <w:sz w:val="28"/>
                <w:szCs w:val="28"/>
                <w:shd w:val="clear" w:color="auto" w:fill="FFFFFF"/>
              </w:rPr>
              <w:t>(M</w:t>
            </w:r>
            <w:r w:rsidRPr="00CC042E">
              <w:rPr>
                <w:rFonts w:cs="Times New Roman"/>
                <w:sz w:val="28"/>
                <w:szCs w:val="28"/>
                <w:shd w:val="clear" w:color="auto" w:fill="FFFFFF"/>
                <w:vertAlign w:val="superscript"/>
              </w:rPr>
              <w:t>pro</w:t>
            </w:r>
            <w:r w:rsidRPr="00CC042E">
              <w:rPr>
                <w:rFonts w:cs="Times New Roman"/>
                <w:sz w:val="28"/>
                <w:szCs w:val="28"/>
                <w:shd w:val="clear" w:color="auto" w:fill="FFFFFF"/>
              </w:rPr>
              <w:t>)</w:t>
            </w:r>
          </w:p>
        </w:tc>
        <w:tc>
          <w:tcPr>
            <w:tcW w:w="2126" w:type="dxa"/>
          </w:tcPr>
          <w:p w:rsidR="003C14AC" w:rsidRPr="00CC042E" w:rsidRDefault="00C55176" w:rsidP="003C14AC">
            <w:pPr>
              <w:jc w:val="both"/>
              <w:rPr>
                <w:rFonts w:cs="Times New Roman"/>
                <w:sz w:val="28"/>
                <w:szCs w:val="28"/>
              </w:rPr>
            </w:pPr>
            <w:r>
              <w:rPr>
                <w:rFonts w:cs="Times New Roman"/>
                <w:sz w:val="28"/>
                <w:szCs w:val="28"/>
              </w:rPr>
              <w:t>Chưa có dữ liệu</w:t>
            </w:r>
          </w:p>
        </w:tc>
        <w:tc>
          <w:tcPr>
            <w:tcW w:w="2835" w:type="dxa"/>
          </w:tcPr>
          <w:p w:rsidR="003C14AC" w:rsidRPr="00CC042E" w:rsidRDefault="009521A9" w:rsidP="009521A9">
            <w:pPr>
              <w:jc w:val="both"/>
              <w:rPr>
                <w:rFonts w:cs="Times New Roman"/>
                <w:sz w:val="28"/>
                <w:szCs w:val="28"/>
              </w:rPr>
            </w:pPr>
            <w:r w:rsidRPr="00CC042E">
              <w:rPr>
                <w:rFonts w:cs="Times New Roman"/>
                <w:sz w:val="28"/>
                <w:szCs w:val="28"/>
              </w:rPr>
              <w:t>Liều dự kiến</w:t>
            </w:r>
            <w:r w:rsidR="00B5620D">
              <w:rPr>
                <w:rFonts w:cs="Times New Roman"/>
                <w:sz w:val="28"/>
                <w:szCs w:val="28"/>
              </w:rPr>
              <w:t>:</w:t>
            </w:r>
            <w:r w:rsidRPr="00CC042E">
              <w:rPr>
                <w:rFonts w:cs="Times New Roman"/>
                <w:sz w:val="28"/>
                <w:szCs w:val="28"/>
              </w:rPr>
              <w:t xml:space="preserve"> 300mg (hai viên 150mg) PF-07321332 với một viên 100mg ritonavir, 2 lần mỗi ngày trong 5 ngày.</w:t>
            </w:r>
            <w:r w:rsidR="00981309" w:rsidRPr="00CC042E">
              <w:rPr>
                <w:rFonts w:cs="Times New Roman"/>
                <w:sz w:val="28"/>
                <w:szCs w:val="28"/>
              </w:rPr>
              <w:t>[</w:t>
            </w:r>
            <w:r w:rsidR="005D79B7">
              <w:rPr>
                <w:rFonts w:cs="Times New Roman"/>
                <w:sz w:val="28"/>
                <w:szCs w:val="28"/>
              </w:rPr>
              <w:t>24</w:t>
            </w:r>
            <w:r w:rsidR="00981309" w:rsidRPr="00CC042E">
              <w:rPr>
                <w:rFonts w:cs="Times New Roman"/>
                <w:sz w:val="28"/>
                <w:szCs w:val="28"/>
              </w:rPr>
              <w:t>]</w:t>
            </w:r>
          </w:p>
        </w:tc>
      </w:tr>
    </w:tbl>
    <w:p w:rsidR="009521A9" w:rsidRPr="00CC042E" w:rsidRDefault="009521A9" w:rsidP="009521A9">
      <w:pPr>
        <w:pStyle w:val="NormalWeb"/>
        <w:shd w:val="clear" w:color="auto" w:fill="FFFFFF"/>
        <w:spacing w:before="0" w:beforeAutospacing="0" w:after="0" w:afterAutospacing="0" w:line="360" w:lineRule="auto"/>
        <w:contextualSpacing/>
        <w:jc w:val="both"/>
        <w:rPr>
          <w:i/>
          <w:sz w:val="28"/>
          <w:szCs w:val="28"/>
        </w:rPr>
      </w:pPr>
    </w:p>
    <w:p w:rsidR="000652D7" w:rsidRPr="00CC042E" w:rsidRDefault="000652D7" w:rsidP="000652D7">
      <w:pPr>
        <w:ind w:firstLine="720"/>
        <w:contextualSpacing/>
        <w:jc w:val="both"/>
        <w:rPr>
          <w:rFonts w:cs="Times New Roman"/>
          <w:sz w:val="28"/>
          <w:szCs w:val="28"/>
          <w:shd w:val="clear" w:color="auto" w:fill="FFFFFF"/>
        </w:rPr>
      </w:pPr>
      <w:r w:rsidRPr="00CC042E">
        <w:rPr>
          <w:rFonts w:cs="Times New Roman"/>
          <w:sz w:val="28"/>
          <w:szCs w:val="28"/>
        </w:rPr>
        <w:t>Trên lâm sàng Favipiravir đã được sử dụng ở nhiều nước mặc dù hiệu quả trên Covid-19 nhiều tranh cãi. [</w:t>
      </w:r>
      <w:r>
        <w:rPr>
          <w:rFonts w:cs="Times New Roman"/>
          <w:sz w:val="28"/>
          <w:szCs w:val="28"/>
        </w:rPr>
        <w:t>3</w:t>
      </w:r>
      <w:r w:rsidRPr="00CC042E">
        <w:rPr>
          <w:rFonts w:cs="Times New Roman"/>
          <w:sz w:val="28"/>
          <w:szCs w:val="28"/>
        </w:rPr>
        <w:t>] Remdesivir đã được Cơ quan Quản lý Thực phẩm Hoa Kỳ (FDA) chấp thuận, tuy nhiên trong một số nghiên cứu, nó không cho thấy hiệu quả mong đợ</w:t>
      </w:r>
      <w:r>
        <w:rPr>
          <w:rFonts w:cs="Times New Roman"/>
          <w:sz w:val="28"/>
          <w:szCs w:val="28"/>
        </w:rPr>
        <w:t xml:space="preserve">i đó là </w:t>
      </w:r>
      <w:r w:rsidRPr="00CC042E">
        <w:rPr>
          <w:rFonts w:cs="Times New Roman"/>
          <w:sz w:val="28"/>
          <w:szCs w:val="28"/>
        </w:rPr>
        <w:t xml:space="preserve"> lý do tại sao WHO không khuyến khích sử dụng. [</w:t>
      </w:r>
      <w:r>
        <w:rPr>
          <w:rFonts w:cs="Times New Roman"/>
          <w:sz w:val="28"/>
          <w:szCs w:val="28"/>
        </w:rPr>
        <w:t>22</w:t>
      </w:r>
      <w:r w:rsidRPr="00CC042E">
        <w:rPr>
          <w:rFonts w:cs="Times New Roman"/>
          <w:sz w:val="28"/>
          <w:szCs w:val="28"/>
        </w:rPr>
        <w:t xml:space="preserve">] Hơn nữa, Remdesivir chỉ có thể được sử dụng qua đường tiêm tĩnh mạch điều này là hạn chế lớn của Remdesivir. </w:t>
      </w:r>
      <w:r w:rsidR="00532459">
        <w:rPr>
          <w:rFonts w:cs="Times New Roman"/>
          <w:sz w:val="28"/>
          <w:szCs w:val="28"/>
        </w:rPr>
        <w:t xml:space="preserve">Hãng dược phẩm </w:t>
      </w:r>
      <w:r w:rsidRPr="00CC042E">
        <w:rPr>
          <w:rFonts w:cs="Times New Roman"/>
          <w:sz w:val="28"/>
          <w:szCs w:val="28"/>
          <w:shd w:val="clear" w:color="auto" w:fill="FFFFFF"/>
        </w:rPr>
        <w:t>Merck công bố thuố</w:t>
      </w:r>
      <w:r w:rsidR="00532459">
        <w:rPr>
          <w:rFonts w:cs="Times New Roman"/>
          <w:sz w:val="28"/>
          <w:szCs w:val="28"/>
          <w:shd w:val="clear" w:color="auto" w:fill="FFFFFF"/>
        </w:rPr>
        <w:t>c Molnupira</w:t>
      </w:r>
      <w:r w:rsidRPr="00CC042E">
        <w:rPr>
          <w:rFonts w:cs="Times New Roman"/>
          <w:sz w:val="28"/>
          <w:szCs w:val="28"/>
          <w:shd w:val="clear" w:color="auto" w:fill="FFFFFF"/>
        </w:rPr>
        <w:t>vir g</w:t>
      </w:r>
      <w:r w:rsidRPr="00CC042E">
        <w:rPr>
          <w:rFonts w:eastAsia="Times New Roman" w:cs="Times New Roman"/>
          <w:sz w:val="28"/>
          <w:szCs w:val="28"/>
        </w:rPr>
        <w:t xml:space="preserve">iảm khoảng 50% nguy cơ nhập viện hoặc tử vong so với giả dược ở </w:t>
      </w:r>
      <w:r w:rsidRPr="00E337CE">
        <w:rPr>
          <w:rFonts w:cs="Times New Roman"/>
          <w:sz w:val="28"/>
          <w:szCs w:val="28"/>
        </w:rPr>
        <w:t>bệnh</w:t>
      </w:r>
      <w:r w:rsidRPr="00CC042E">
        <w:rPr>
          <w:rFonts w:eastAsia="Times New Roman" w:cs="Times New Roman"/>
          <w:sz w:val="28"/>
          <w:szCs w:val="28"/>
        </w:rPr>
        <w:t xml:space="preserve"> nhân nhiễm COVID-19 mức độ nhẹ hoặc trung bình dựa trên kết quả phân tích tạm thời nghiên cứu MOVe-OUT </w:t>
      </w:r>
      <w:r w:rsidRPr="00CC042E">
        <w:rPr>
          <w:rFonts w:cs="Times New Roman"/>
          <w:sz w:val="28"/>
          <w:szCs w:val="28"/>
        </w:rPr>
        <w:t>(NCT04575597)</w:t>
      </w:r>
      <w:r w:rsidRPr="00CC042E">
        <w:rPr>
          <w:rFonts w:eastAsia="Times New Roman" w:cs="Times New Roman"/>
          <w:sz w:val="28"/>
          <w:szCs w:val="28"/>
        </w:rPr>
        <w:t xml:space="preserve"> giai đoạn 3. [</w:t>
      </w:r>
      <w:r>
        <w:rPr>
          <w:rFonts w:eastAsia="Times New Roman" w:cs="Times New Roman"/>
          <w:sz w:val="28"/>
          <w:szCs w:val="28"/>
        </w:rPr>
        <w:t>18</w:t>
      </w:r>
      <w:r w:rsidRPr="00CC042E">
        <w:rPr>
          <w:rFonts w:eastAsia="Times New Roman" w:cs="Times New Roman"/>
          <w:sz w:val="28"/>
          <w:szCs w:val="28"/>
        </w:rPr>
        <w:t>]</w:t>
      </w:r>
      <w:r>
        <w:rPr>
          <w:rFonts w:eastAsia="Times New Roman" w:cs="Times New Roman"/>
          <w:sz w:val="28"/>
          <w:szCs w:val="28"/>
        </w:rPr>
        <w:t xml:space="preserve"> </w:t>
      </w:r>
      <w:r w:rsidRPr="00CC042E">
        <w:rPr>
          <w:rFonts w:cs="Times New Roman"/>
          <w:sz w:val="28"/>
          <w:szCs w:val="28"/>
          <w:shd w:val="clear" w:color="auto" w:fill="FFFFFF"/>
        </w:rPr>
        <w:t xml:space="preserve">Trong khi đó Pfizer thông báo thuốc </w:t>
      </w:r>
      <w:r w:rsidRPr="00CC042E">
        <w:rPr>
          <w:rFonts w:cs="Times New Roman"/>
          <w:sz w:val="28"/>
          <w:szCs w:val="28"/>
        </w:rPr>
        <w:t xml:space="preserve">PAXLOVID (PF-07321332/Ritonavir) </w:t>
      </w:r>
      <w:r w:rsidRPr="00CC042E">
        <w:rPr>
          <w:rFonts w:cs="Times New Roman"/>
          <w:sz w:val="28"/>
          <w:szCs w:val="28"/>
          <w:shd w:val="clear" w:color="auto" w:fill="FFFFFF"/>
        </w:rPr>
        <w:t>do hãng phát triển có thể giảm 89% nguy cơ nhập viện hoặc tử vong ở bệnh nhân trưởng thành thuộc nhóm có nguy cơ bệnh nặng. [</w:t>
      </w:r>
      <w:r>
        <w:rPr>
          <w:rFonts w:cs="Times New Roman"/>
          <w:sz w:val="28"/>
          <w:szCs w:val="28"/>
          <w:shd w:val="clear" w:color="auto" w:fill="FFFFFF"/>
        </w:rPr>
        <w:t>29</w:t>
      </w:r>
      <w:r w:rsidRPr="00CC042E">
        <w:rPr>
          <w:rFonts w:cs="Times New Roman"/>
          <w:sz w:val="28"/>
          <w:szCs w:val="28"/>
          <w:shd w:val="clear" w:color="auto" w:fill="FFFFFF"/>
        </w:rPr>
        <w:t>]</w:t>
      </w:r>
    </w:p>
    <w:p w:rsidR="00D91987" w:rsidRPr="00CC042E" w:rsidRDefault="0093758C" w:rsidP="00E337CE">
      <w:pPr>
        <w:ind w:firstLine="720"/>
        <w:jc w:val="both"/>
        <w:rPr>
          <w:rFonts w:cs="Times New Roman"/>
          <w:sz w:val="28"/>
          <w:szCs w:val="28"/>
        </w:rPr>
      </w:pPr>
      <w:r w:rsidRPr="00CC042E">
        <w:rPr>
          <w:rFonts w:cs="Times New Roman"/>
          <w:sz w:val="28"/>
          <w:szCs w:val="28"/>
        </w:rPr>
        <w:t xml:space="preserve">Nếu được chấp thuận PAXLOVID sẽ là thuốc kháng virus đường uống đầu tiên thuộc nhóm chất ức chế protease 3CL trong điều trị COVID-19. </w:t>
      </w:r>
      <w:r w:rsidR="0034749C" w:rsidRPr="00CC042E">
        <w:rPr>
          <w:rFonts w:cs="Times New Roman"/>
          <w:sz w:val="28"/>
          <w:szCs w:val="28"/>
        </w:rPr>
        <w:t xml:space="preserve">Mục tiêu của </w:t>
      </w:r>
      <w:r w:rsidRPr="00CC042E">
        <w:rPr>
          <w:rFonts w:cs="Times New Roman"/>
          <w:sz w:val="28"/>
          <w:szCs w:val="28"/>
        </w:rPr>
        <w:t xml:space="preserve">bài </w:t>
      </w:r>
      <w:r w:rsidR="0034749C" w:rsidRPr="00CC042E">
        <w:rPr>
          <w:rFonts w:cs="Times New Roman"/>
          <w:sz w:val="28"/>
          <w:szCs w:val="28"/>
        </w:rPr>
        <w:t xml:space="preserve">tổng quan này là tổng hợp </w:t>
      </w:r>
      <w:r w:rsidRPr="00CC042E">
        <w:rPr>
          <w:rFonts w:cs="Times New Roman"/>
          <w:sz w:val="28"/>
          <w:szCs w:val="28"/>
        </w:rPr>
        <w:t xml:space="preserve">các </w:t>
      </w:r>
      <w:r w:rsidR="0034749C" w:rsidRPr="00CC042E">
        <w:rPr>
          <w:rFonts w:cs="Times New Roman"/>
          <w:sz w:val="28"/>
          <w:szCs w:val="28"/>
        </w:rPr>
        <w:t>bằng chứng</w:t>
      </w:r>
      <w:r w:rsidRPr="00CC042E">
        <w:rPr>
          <w:rFonts w:cs="Times New Roman"/>
          <w:sz w:val="28"/>
          <w:szCs w:val="28"/>
        </w:rPr>
        <w:t xml:space="preserve"> hiện có</w:t>
      </w:r>
      <w:r w:rsidR="0034749C" w:rsidRPr="00CC042E">
        <w:rPr>
          <w:rFonts w:cs="Times New Roman"/>
          <w:sz w:val="28"/>
          <w:szCs w:val="28"/>
        </w:rPr>
        <w:t xml:space="preserve"> từ các nghiên cứu in vitro, nghiên cứ</w:t>
      </w:r>
      <w:r w:rsidRPr="00CC042E">
        <w:rPr>
          <w:rFonts w:cs="Times New Roman"/>
          <w:sz w:val="28"/>
          <w:szCs w:val="28"/>
        </w:rPr>
        <w:t xml:space="preserve">u in vivo </w:t>
      </w:r>
      <w:r w:rsidR="0034749C" w:rsidRPr="00CC042E">
        <w:rPr>
          <w:rFonts w:cs="Times New Roman"/>
          <w:sz w:val="28"/>
          <w:szCs w:val="28"/>
        </w:rPr>
        <w:t xml:space="preserve">và các thử nghiệm lâm sàng để cung cấp thông tin toàn diện về tiềm năng </w:t>
      </w:r>
      <w:r w:rsidRPr="00CC042E">
        <w:rPr>
          <w:rFonts w:cs="Times New Roman"/>
          <w:sz w:val="28"/>
          <w:szCs w:val="28"/>
        </w:rPr>
        <w:t xml:space="preserve">kháng virus </w:t>
      </w:r>
      <w:r w:rsidR="0034749C" w:rsidRPr="00CC042E">
        <w:rPr>
          <w:rFonts w:cs="Times New Roman"/>
          <w:sz w:val="28"/>
          <w:szCs w:val="28"/>
        </w:rPr>
        <w:t xml:space="preserve">của </w:t>
      </w:r>
      <w:r w:rsidRPr="00CC042E">
        <w:rPr>
          <w:rFonts w:cs="Times New Roman"/>
          <w:sz w:val="28"/>
          <w:szCs w:val="28"/>
        </w:rPr>
        <w:t>PF-07321332/Ritonavir.</w:t>
      </w:r>
    </w:p>
    <w:p w:rsidR="0046203E" w:rsidRPr="00CC042E" w:rsidRDefault="0046203E" w:rsidP="00381E74">
      <w:pPr>
        <w:pStyle w:val="ListParagraph"/>
        <w:numPr>
          <w:ilvl w:val="0"/>
          <w:numId w:val="16"/>
        </w:numPr>
        <w:jc w:val="both"/>
        <w:rPr>
          <w:rFonts w:cs="Times New Roman"/>
          <w:b/>
          <w:sz w:val="28"/>
          <w:szCs w:val="28"/>
        </w:rPr>
      </w:pPr>
      <w:r w:rsidRPr="00CC042E">
        <w:rPr>
          <w:rFonts w:cs="Times New Roman"/>
          <w:b/>
          <w:sz w:val="28"/>
          <w:szCs w:val="28"/>
        </w:rPr>
        <w:t>Phương pháp nghiên cứu</w:t>
      </w:r>
    </w:p>
    <w:p w:rsidR="009F054B" w:rsidRPr="00CC042E" w:rsidRDefault="004766D4" w:rsidP="00E337CE">
      <w:pPr>
        <w:ind w:firstLine="720"/>
        <w:jc w:val="both"/>
        <w:rPr>
          <w:rFonts w:cs="Times New Roman"/>
          <w:sz w:val="28"/>
          <w:szCs w:val="28"/>
        </w:rPr>
      </w:pPr>
      <w:r w:rsidRPr="00CC042E">
        <w:rPr>
          <w:rFonts w:cs="Times New Roman"/>
          <w:sz w:val="28"/>
          <w:szCs w:val="28"/>
        </w:rPr>
        <w:t xml:space="preserve">Các </w:t>
      </w:r>
      <w:r w:rsidR="006416E3" w:rsidRPr="00CC042E">
        <w:rPr>
          <w:rFonts w:cs="Times New Roman"/>
          <w:sz w:val="28"/>
          <w:szCs w:val="28"/>
        </w:rPr>
        <w:t>dữ liệu</w:t>
      </w:r>
      <w:r w:rsidRPr="00CC042E">
        <w:rPr>
          <w:rFonts w:cs="Times New Roman"/>
          <w:sz w:val="28"/>
          <w:szCs w:val="28"/>
        </w:rPr>
        <w:t xml:space="preserve"> có liên quan đã được tìm kiếm trên PubMed và Google Scholar bằng cách sử dụ</w:t>
      </w:r>
      <w:r w:rsidR="006416E3" w:rsidRPr="00CC042E">
        <w:rPr>
          <w:rFonts w:cs="Times New Roman"/>
          <w:sz w:val="28"/>
          <w:szCs w:val="28"/>
        </w:rPr>
        <w:t>ng</w:t>
      </w:r>
      <w:r w:rsidRPr="00CC042E">
        <w:rPr>
          <w:rFonts w:cs="Times New Roman"/>
          <w:sz w:val="28"/>
          <w:szCs w:val="28"/>
        </w:rPr>
        <w:t xml:space="preserve"> cụm từ tìm kiế</w:t>
      </w:r>
      <w:r w:rsidR="006416E3" w:rsidRPr="00CC042E">
        <w:rPr>
          <w:rFonts w:cs="Times New Roman"/>
          <w:sz w:val="28"/>
          <w:szCs w:val="28"/>
        </w:rPr>
        <w:t>m  “SARS-CoV”và “PF-07321332”</w:t>
      </w:r>
      <w:r w:rsidR="009F054B" w:rsidRPr="00CC042E">
        <w:rPr>
          <w:rFonts w:cs="Times New Roman"/>
          <w:sz w:val="28"/>
          <w:szCs w:val="28"/>
        </w:rPr>
        <w:t xml:space="preserve"> cho đến ngày 11 tháng 11 năm 2021</w:t>
      </w:r>
      <w:r w:rsidRPr="00CC042E">
        <w:rPr>
          <w:rFonts w:cs="Times New Roman"/>
          <w:sz w:val="28"/>
          <w:szCs w:val="28"/>
        </w:rPr>
        <w:t xml:space="preserve"> </w:t>
      </w:r>
      <w:r w:rsidR="006416E3" w:rsidRPr="00CC042E">
        <w:rPr>
          <w:rFonts w:cs="Times New Roman"/>
          <w:sz w:val="28"/>
          <w:szCs w:val="28"/>
        </w:rPr>
        <w:t>. C</w:t>
      </w:r>
      <w:r w:rsidRPr="00CC042E">
        <w:rPr>
          <w:rFonts w:cs="Times New Roman"/>
          <w:sz w:val="28"/>
          <w:szCs w:val="28"/>
        </w:rPr>
        <w:t xml:space="preserve">ác thử nghiệm lâm sàng đánh giá hiệu quả của </w:t>
      </w:r>
      <w:r w:rsidR="006416E3" w:rsidRPr="00CC042E">
        <w:rPr>
          <w:rFonts w:cs="Times New Roman"/>
          <w:sz w:val="28"/>
          <w:szCs w:val="28"/>
        </w:rPr>
        <w:t>PF-07321332</w:t>
      </w:r>
      <w:r w:rsidRPr="00CC042E">
        <w:rPr>
          <w:rFonts w:cs="Times New Roman"/>
          <w:sz w:val="28"/>
          <w:szCs w:val="28"/>
        </w:rPr>
        <w:t xml:space="preserve"> chống lại COVID-19 cũng được tìm kiế</w:t>
      </w:r>
      <w:r w:rsidR="009F054B" w:rsidRPr="00CC042E">
        <w:rPr>
          <w:rFonts w:cs="Times New Roman"/>
          <w:sz w:val="28"/>
          <w:szCs w:val="28"/>
        </w:rPr>
        <w:t xml:space="preserve">m trên ClinicalTrials.gov. Bài viết này tổng hợp từ kết quả của các nghiên cứu </w:t>
      </w:r>
      <w:r w:rsidR="0093758C" w:rsidRPr="00CC042E">
        <w:rPr>
          <w:rFonts w:cs="Times New Roman"/>
          <w:sz w:val="28"/>
          <w:szCs w:val="28"/>
        </w:rPr>
        <w:t>về tính kháng virus</w:t>
      </w:r>
      <w:r w:rsidR="009F054B" w:rsidRPr="00CC042E">
        <w:rPr>
          <w:rFonts w:cs="Times New Roman"/>
          <w:sz w:val="28"/>
          <w:szCs w:val="28"/>
        </w:rPr>
        <w:t xml:space="preserve"> thực hiện vớ</w:t>
      </w:r>
      <w:r w:rsidR="0093758C" w:rsidRPr="00CC042E">
        <w:rPr>
          <w:rFonts w:cs="Times New Roman"/>
          <w:sz w:val="28"/>
          <w:szCs w:val="28"/>
        </w:rPr>
        <w:t>i PF-07321332.</w:t>
      </w:r>
    </w:p>
    <w:p w:rsidR="001251AF" w:rsidRPr="00CC042E" w:rsidRDefault="006D3CC3" w:rsidP="00381E74">
      <w:pPr>
        <w:pStyle w:val="ListParagraph"/>
        <w:numPr>
          <w:ilvl w:val="0"/>
          <w:numId w:val="16"/>
        </w:numPr>
        <w:jc w:val="both"/>
        <w:rPr>
          <w:rFonts w:cs="Times New Roman"/>
          <w:b/>
          <w:sz w:val="28"/>
          <w:szCs w:val="28"/>
        </w:rPr>
      </w:pPr>
      <w:r w:rsidRPr="00CC042E">
        <w:rPr>
          <w:rFonts w:cs="Times New Roman"/>
          <w:b/>
          <w:sz w:val="28"/>
          <w:szCs w:val="28"/>
        </w:rPr>
        <w:t>Kết quả</w:t>
      </w:r>
    </w:p>
    <w:p w:rsidR="00B50DF7" w:rsidRPr="00CC042E" w:rsidRDefault="001251AF" w:rsidP="00E337CE">
      <w:pPr>
        <w:ind w:firstLine="720"/>
        <w:jc w:val="both"/>
        <w:rPr>
          <w:rFonts w:cs="Times New Roman"/>
          <w:sz w:val="28"/>
          <w:szCs w:val="28"/>
        </w:rPr>
      </w:pPr>
      <w:r w:rsidRPr="00CC042E">
        <w:rPr>
          <w:rFonts w:cs="Times New Roman"/>
          <w:sz w:val="28"/>
          <w:szCs w:val="28"/>
        </w:rPr>
        <w:lastRenderedPageBreak/>
        <w:t>Sau khi tiến hành tìm kiếm, kết quả có 93 bài viết đã được tìm thấy trong cơ sở dữ liệu của Google Scholar và 11 bài viết đã được tìm thấy trên PubMed</w:t>
      </w:r>
      <w:r w:rsidR="003649BA" w:rsidRPr="00CC042E">
        <w:rPr>
          <w:rFonts w:cs="Times New Roman"/>
          <w:sz w:val="28"/>
          <w:szCs w:val="28"/>
        </w:rPr>
        <w:t xml:space="preserve">. </w:t>
      </w:r>
      <w:r w:rsidRPr="00CC042E">
        <w:rPr>
          <w:rFonts w:cs="Times New Roman"/>
          <w:sz w:val="28"/>
          <w:szCs w:val="28"/>
        </w:rPr>
        <w:t>Tổng cộng 10 thử nghiệm lâm sàng về PF-07321332 đã được tìm thấy trên ClinicalTrials.gov. Sau khi loại bỏ sự lặp lại, đánh giá các bài báo,</w:t>
      </w:r>
      <w:r w:rsidR="009E6636" w:rsidRPr="00CC042E">
        <w:rPr>
          <w:rFonts w:cs="Times New Roman"/>
          <w:sz w:val="28"/>
          <w:szCs w:val="28"/>
        </w:rPr>
        <w:t xml:space="preserve"> bài viết tổng hợp các</w:t>
      </w:r>
      <w:r w:rsidRPr="00CC042E">
        <w:rPr>
          <w:rFonts w:cs="Times New Roman"/>
          <w:sz w:val="28"/>
          <w:szCs w:val="28"/>
        </w:rPr>
        <w:t xml:space="preserve"> nghiên cứu về PF-07321332 trên in vitro và in vivo đã được công bố</w:t>
      </w:r>
      <w:r w:rsidR="009E6636" w:rsidRPr="00CC042E">
        <w:rPr>
          <w:rFonts w:cs="Times New Roman"/>
          <w:sz w:val="28"/>
          <w:szCs w:val="28"/>
        </w:rPr>
        <w:t xml:space="preserve"> và c</w:t>
      </w:r>
      <w:r w:rsidRPr="00CC042E">
        <w:rPr>
          <w:rFonts w:cs="Times New Roman"/>
          <w:sz w:val="28"/>
          <w:szCs w:val="28"/>
        </w:rPr>
        <w:t xml:space="preserve">ác thử nghiệm lâm sàng trên người </w:t>
      </w:r>
      <w:r w:rsidR="003649BA" w:rsidRPr="00CC042E">
        <w:rPr>
          <w:rFonts w:cs="Times New Roman"/>
          <w:sz w:val="28"/>
          <w:szCs w:val="28"/>
        </w:rPr>
        <w:t>t</w:t>
      </w:r>
      <w:r w:rsidRPr="00CC042E">
        <w:rPr>
          <w:rFonts w:cs="Times New Roman"/>
          <w:sz w:val="28"/>
          <w:szCs w:val="28"/>
        </w:rPr>
        <w:t>ừ giai đoạn 1 đến 3 bao gồ</w:t>
      </w:r>
      <w:r w:rsidR="003649BA" w:rsidRPr="00CC042E">
        <w:rPr>
          <w:rFonts w:cs="Times New Roman"/>
          <w:sz w:val="28"/>
          <w:szCs w:val="28"/>
        </w:rPr>
        <w:t>m các thử nghiệm</w:t>
      </w:r>
      <w:r w:rsidR="0016006D" w:rsidRPr="00CC042E">
        <w:rPr>
          <w:rFonts w:cs="Times New Roman"/>
          <w:sz w:val="28"/>
          <w:szCs w:val="28"/>
        </w:rPr>
        <w:t xml:space="preserve"> đã hoàn thành và</w:t>
      </w:r>
      <w:r w:rsidRPr="00CC042E">
        <w:rPr>
          <w:rFonts w:cs="Times New Roman"/>
          <w:sz w:val="28"/>
          <w:szCs w:val="28"/>
        </w:rPr>
        <w:t xml:space="preserve"> một số thử nghiệm đang diễ</w:t>
      </w:r>
      <w:r w:rsidR="009E6636" w:rsidRPr="00CC042E">
        <w:rPr>
          <w:rFonts w:cs="Times New Roman"/>
          <w:sz w:val="28"/>
          <w:szCs w:val="28"/>
        </w:rPr>
        <w:t>n ra. T</w:t>
      </w:r>
      <w:r w:rsidR="003649BA" w:rsidRPr="00CC042E">
        <w:rPr>
          <w:rFonts w:cs="Times New Roman"/>
          <w:sz w:val="28"/>
          <w:szCs w:val="28"/>
        </w:rPr>
        <w:t>uy nhiên vẫn chưa có bài báo nào công bố chính thức về kết quả</w:t>
      </w:r>
      <w:r w:rsidR="00265D32" w:rsidRPr="00CC042E">
        <w:rPr>
          <w:rFonts w:cs="Times New Roman"/>
          <w:sz w:val="28"/>
          <w:szCs w:val="28"/>
        </w:rPr>
        <w:t xml:space="preserve"> thử</w:t>
      </w:r>
      <w:r w:rsidR="006162F7" w:rsidRPr="00CC042E">
        <w:rPr>
          <w:rFonts w:cs="Times New Roman"/>
          <w:sz w:val="28"/>
          <w:szCs w:val="28"/>
        </w:rPr>
        <w:t xml:space="preserve"> nghiệm</w:t>
      </w:r>
      <w:r w:rsidR="00265D32" w:rsidRPr="00CC042E">
        <w:rPr>
          <w:rFonts w:cs="Times New Roman"/>
          <w:sz w:val="28"/>
          <w:szCs w:val="28"/>
        </w:rPr>
        <w:t xml:space="preserve"> trên người</w:t>
      </w:r>
      <w:r w:rsidR="003649BA" w:rsidRPr="00CC042E">
        <w:rPr>
          <w:rFonts w:cs="Times New Roman"/>
          <w:sz w:val="28"/>
          <w:szCs w:val="28"/>
        </w:rPr>
        <w:t xml:space="preserve">, hiện chỉ có kết quả phân tích tạm thời của </w:t>
      </w:r>
      <w:r w:rsidR="00954639" w:rsidRPr="00CC042E">
        <w:rPr>
          <w:rFonts w:cs="Times New Roman"/>
          <w:sz w:val="28"/>
          <w:szCs w:val="28"/>
        </w:rPr>
        <w:t xml:space="preserve">một số </w:t>
      </w:r>
      <w:r w:rsidR="003649BA" w:rsidRPr="00CC042E">
        <w:rPr>
          <w:rFonts w:cs="Times New Roman"/>
          <w:sz w:val="28"/>
          <w:szCs w:val="28"/>
        </w:rPr>
        <w:t>các thử nghiệm.</w:t>
      </w:r>
      <w:r w:rsidR="00532459" w:rsidRPr="00CC042E">
        <w:rPr>
          <w:rFonts w:cs="Times New Roman"/>
          <w:sz w:val="28"/>
          <w:szCs w:val="28"/>
        </w:rPr>
        <w:t xml:space="preserve"> </w:t>
      </w:r>
    </w:p>
    <w:p w:rsidR="00381E74" w:rsidRPr="00CC042E" w:rsidRDefault="00381E74" w:rsidP="00381E74">
      <w:pPr>
        <w:pStyle w:val="ListParagraph"/>
        <w:numPr>
          <w:ilvl w:val="0"/>
          <w:numId w:val="18"/>
        </w:numPr>
        <w:jc w:val="both"/>
        <w:rPr>
          <w:rFonts w:cs="Times New Roman"/>
          <w:b/>
          <w:sz w:val="28"/>
          <w:szCs w:val="28"/>
        </w:rPr>
      </w:pPr>
      <w:r w:rsidRPr="00CC042E">
        <w:rPr>
          <w:rFonts w:cs="Times New Roman"/>
          <w:b/>
          <w:sz w:val="28"/>
          <w:szCs w:val="28"/>
        </w:rPr>
        <w:t xml:space="preserve">Kết quả nghiên </w:t>
      </w:r>
      <w:r w:rsidRPr="006948C0">
        <w:rPr>
          <w:rFonts w:cs="Times New Roman"/>
          <w:b/>
          <w:sz w:val="28"/>
          <w:szCs w:val="28"/>
        </w:rPr>
        <w:t>cứu in</w:t>
      </w:r>
      <w:r w:rsidR="00E5774D" w:rsidRPr="006948C0">
        <w:rPr>
          <w:rFonts w:cs="Times New Roman"/>
          <w:b/>
          <w:sz w:val="28"/>
          <w:szCs w:val="28"/>
        </w:rPr>
        <w:t>-v</w:t>
      </w:r>
      <w:r w:rsidRPr="006948C0">
        <w:rPr>
          <w:rFonts w:cs="Times New Roman"/>
          <w:b/>
          <w:sz w:val="28"/>
          <w:szCs w:val="28"/>
        </w:rPr>
        <w:t>itro</w:t>
      </w:r>
      <w:r w:rsidRPr="00CC042E">
        <w:rPr>
          <w:rFonts w:cs="Times New Roman"/>
          <w:b/>
          <w:sz w:val="28"/>
          <w:szCs w:val="28"/>
        </w:rPr>
        <w:t xml:space="preserve">: </w:t>
      </w:r>
    </w:p>
    <w:p w:rsidR="00381E74" w:rsidRPr="00CC042E" w:rsidRDefault="00381E74" w:rsidP="00820A72">
      <w:pPr>
        <w:ind w:firstLine="720"/>
        <w:contextualSpacing/>
        <w:jc w:val="both"/>
        <w:rPr>
          <w:rFonts w:cs="Times New Roman"/>
          <w:sz w:val="28"/>
          <w:szCs w:val="28"/>
        </w:rPr>
      </w:pPr>
      <w:r w:rsidRPr="00CC042E">
        <w:rPr>
          <w:rFonts w:cs="Times New Roman"/>
          <w:sz w:val="28"/>
          <w:szCs w:val="28"/>
        </w:rPr>
        <w:t>Nghiên cứu của Rana Abdelnabi và cộng sự về tính kháng virus của PF-07321332 trên các biến thể SARS-CoV-2 trên các tế bào Vero E6 và A549 (gắn ACE2 / TMPRSS2), giá trị EC</w:t>
      </w:r>
      <w:r w:rsidRPr="00CC042E">
        <w:rPr>
          <w:rFonts w:cs="Times New Roman"/>
          <w:sz w:val="28"/>
          <w:szCs w:val="28"/>
          <w:vertAlign w:val="subscript"/>
        </w:rPr>
        <w:t>50</w:t>
      </w:r>
      <w:r w:rsidRPr="00CC042E">
        <w:rPr>
          <w:rFonts w:cs="Times New Roman"/>
          <w:sz w:val="28"/>
          <w:szCs w:val="28"/>
        </w:rPr>
        <w:t xml:space="preserve"> thu được từ 70 đến 280 nM. Kết quả cho thấy hoạt tính kháng virus in vitro của PF-07321332 đối với bốn loại biến thể khác nhau (B.1.1.7, B.1.351, B.1.1.28.1, B.1.617.2) gần như tương đương và không phụ thuộc vào dòng tế bào được sử dụ</w:t>
      </w:r>
      <w:r w:rsidR="00C611B3">
        <w:rPr>
          <w:rFonts w:cs="Times New Roman"/>
          <w:sz w:val="28"/>
          <w:szCs w:val="28"/>
        </w:rPr>
        <w:t>ng.[</w:t>
      </w:r>
      <w:r w:rsidR="005D79B7">
        <w:rPr>
          <w:rFonts w:cs="Times New Roman"/>
          <w:sz w:val="28"/>
          <w:szCs w:val="28"/>
        </w:rPr>
        <w:t>4</w:t>
      </w:r>
      <w:r w:rsidR="00C611B3">
        <w:rPr>
          <w:rFonts w:cs="Times New Roman"/>
          <w:sz w:val="28"/>
          <w:szCs w:val="28"/>
        </w:rPr>
        <w:t>]</w:t>
      </w:r>
      <w:r w:rsidRPr="00CC042E">
        <w:rPr>
          <w:rFonts w:cs="Times New Roman"/>
          <w:sz w:val="28"/>
          <w:szCs w:val="28"/>
        </w:rPr>
        <w:t xml:space="preserve"> Theo nghiên cứu in vitro của Dafydd R. Owen và cộng sự, PF-07321332 đã ức chế sự sao chép của SARS-CoV-2 trong các tế bào A549-ACE2 với các giá trị </w:t>
      </w:r>
      <w:r w:rsidR="00532459" w:rsidRPr="00CC042E">
        <w:rPr>
          <w:rFonts w:cs="Times New Roman"/>
          <w:sz w:val="28"/>
          <w:szCs w:val="28"/>
        </w:rPr>
        <w:t>EC</w:t>
      </w:r>
      <w:r w:rsidR="00532459" w:rsidRPr="00CC042E">
        <w:rPr>
          <w:rFonts w:cs="Times New Roman"/>
          <w:sz w:val="28"/>
          <w:szCs w:val="28"/>
          <w:vertAlign w:val="subscript"/>
        </w:rPr>
        <w:t>50</w:t>
      </w:r>
      <w:r w:rsidRPr="00CC042E">
        <w:rPr>
          <w:rFonts w:cs="Times New Roman"/>
          <w:sz w:val="28"/>
          <w:szCs w:val="28"/>
        </w:rPr>
        <w:t xml:space="preserve"> và </w:t>
      </w:r>
      <w:r w:rsidR="00532459" w:rsidRPr="00CC042E">
        <w:rPr>
          <w:rFonts w:cs="Times New Roman"/>
          <w:sz w:val="28"/>
          <w:szCs w:val="28"/>
        </w:rPr>
        <w:t>EC</w:t>
      </w:r>
      <w:r w:rsidR="00532459">
        <w:rPr>
          <w:rFonts w:cs="Times New Roman"/>
          <w:sz w:val="28"/>
          <w:szCs w:val="28"/>
          <w:vertAlign w:val="subscript"/>
        </w:rPr>
        <w:t>9</w:t>
      </w:r>
      <w:r w:rsidR="00532459" w:rsidRPr="00CC042E">
        <w:rPr>
          <w:rFonts w:cs="Times New Roman"/>
          <w:sz w:val="28"/>
          <w:szCs w:val="28"/>
          <w:vertAlign w:val="subscript"/>
        </w:rPr>
        <w:t>0</w:t>
      </w:r>
      <w:r w:rsidRPr="00CC042E">
        <w:rPr>
          <w:rFonts w:cs="Times New Roman"/>
          <w:sz w:val="28"/>
          <w:szCs w:val="28"/>
        </w:rPr>
        <w:t xml:space="preserve"> tương ứng là 77,9 nM và 215 nM, không có độc tính tế bào được phát hiện ở nồng độ lên đến 3 μM. Tế bào dNHBE với các nồng độ khác nhau của PF-07321332 trong 3 ngày dẫn đến ức chế sự nhân lên của virus SARS-CoV-2 với các giá trị </w:t>
      </w:r>
      <w:r w:rsidR="00532459" w:rsidRPr="00CC042E">
        <w:rPr>
          <w:rFonts w:cs="Times New Roman"/>
          <w:sz w:val="28"/>
          <w:szCs w:val="28"/>
        </w:rPr>
        <w:t>EC</w:t>
      </w:r>
      <w:r w:rsidR="00532459" w:rsidRPr="00CC042E">
        <w:rPr>
          <w:rFonts w:cs="Times New Roman"/>
          <w:sz w:val="28"/>
          <w:szCs w:val="28"/>
          <w:vertAlign w:val="subscript"/>
        </w:rPr>
        <w:t>50</w:t>
      </w:r>
      <w:r w:rsidRPr="00CC042E">
        <w:rPr>
          <w:rFonts w:cs="Times New Roman"/>
          <w:sz w:val="28"/>
          <w:szCs w:val="28"/>
        </w:rPr>
        <w:t xml:space="preserve"> và </w:t>
      </w:r>
      <w:r w:rsidR="00532459" w:rsidRPr="00CC042E">
        <w:rPr>
          <w:rFonts w:cs="Times New Roman"/>
          <w:sz w:val="28"/>
          <w:szCs w:val="28"/>
        </w:rPr>
        <w:t>EC</w:t>
      </w:r>
      <w:r w:rsidR="00532459">
        <w:rPr>
          <w:rFonts w:cs="Times New Roman"/>
          <w:sz w:val="28"/>
          <w:szCs w:val="28"/>
          <w:vertAlign w:val="subscript"/>
        </w:rPr>
        <w:t>9</w:t>
      </w:r>
      <w:r w:rsidR="00532459" w:rsidRPr="00CC042E">
        <w:rPr>
          <w:rFonts w:cs="Times New Roman"/>
          <w:sz w:val="28"/>
          <w:szCs w:val="28"/>
          <w:vertAlign w:val="subscript"/>
        </w:rPr>
        <w:t>0</w:t>
      </w:r>
      <w:r w:rsidRPr="00CC042E">
        <w:rPr>
          <w:rFonts w:cs="Times New Roman"/>
          <w:sz w:val="28"/>
          <w:szCs w:val="28"/>
        </w:rPr>
        <w:t xml:space="preserve"> tương ứng là 61,8 nM và 181 nM. Tăng thời gian của nghiên cứu dNHBE lên 5 ngày cho thấy sự nhân lên của virus bị ức chế với các giá trị </w:t>
      </w:r>
      <w:r w:rsidR="00532459" w:rsidRPr="00CC042E">
        <w:rPr>
          <w:rFonts w:cs="Times New Roman"/>
          <w:sz w:val="28"/>
          <w:szCs w:val="28"/>
        </w:rPr>
        <w:t>EC</w:t>
      </w:r>
      <w:r w:rsidR="00532459" w:rsidRPr="00CC042E">
        <w:rPr>
          <w:rFonts w:cs="Times New Roman"/>
          <w:sz w:val="28"/>
          <w:szCs w:val="28"/>
          <w:vertAlign w:val="subscript"/>
        </w:rPr>
        <w:t>50</w:t>
      </w:r>
      <w:r w:rsidRPr="00CC042E">
        <w:rPr>
          <w:rFonts w:cs="Times New Roman"/>
          <w:sz w:val="28"/>
          <w:szCs w:val="28"/>
        </w:rPr>
        <w:t xml:space="preserve"> và </w:t>
      </w:r>
      <w:r w:rsidR="00532459" w:rsidRPr="00CC042E">
        <w:rPr>
          <w:rFonts w:cs="Times New Roman"/>
          <w:sz w:val="28"/>
          <w:szCs w:val="28"/>
        </w:rPr>
        <w:t>EC</w:t>
      </w:r>
      <w:r w:rsidR="00532459">
        <w:rPr>
          <w:rFonts w:cs="Times New Roman"/>
          <w:sz w:val="28"/>
          <w:szCs w:val="28"/>
          <w:vertAlign w:val="subscript"/>
        </w:rPr>
        <w:t>9</w:t>
      </w:r>
      <w:r w:rsidR="00532459" w:rsidRPr="00CC042E">
        <w:rPr>
          <w:rFonts w:cs="Times New Roman"/>
          <w:sz w:val="28"/>
          <w:szCs w:val="28"/>
          <w:vertAlign w:val="subscript"/>
        </w:rPr>
        <w:t>0</w:t>
      </w:r>
      <w:r w:rsidRPr="00CC042E">
        <w:rPr>
          <w:rFonts w:cs="Times New Roman"/>
          <w:sz w:val="28"/>
          <w:szCs w:val="28"/>
        </w:rPr>
        <w:t xml:space="preserve"> lần lượt là 32,6 nM và 56,1 nM. Ngoài ra trên in vitro PF-07321332 đã cho thấy hoạt tính kháng virus mạnh mẽ chống lại SARS-CoV-1 (</w:t>
      </w:r>
      <w:r w:rsidR="00532459" w:rsidRPr="00CC042E">
        <w:rPr>
          <w:rFonts w:cs="Times New Roman"/>
          <w:sz w:val="28"/>
          <w:szCs w:val="28"/>
        </w:rPr>
        <w:t>EC</w:t>
      </w:r>
      <w:r w:rsidR="00532459">
        <w:rPr>
          <w:rFonts w:cs="Times New Roman"/>
          <w:sz w:val="28"/>
          <w:szCs w:val="28"/>
          <w:vertAlign w:val="subscript"/>
        </w:rPr>
        <w:t>9</w:t>
      </w:r>
      <w:r w:rsidR="00532459" w:rsidRPr="00CC042E">
        <w:rPr>
          <w:rFonts w:cs="Times New Roman"/>
          <w:sz w:val="28"/>
          <w:szCs w:val="28"/>
          <w:vertAlign w:val="subscript"/>
        </w:rPr>
        <w:t>0</w:t>
      </w:r>
      <w:r w:rsidR="00532459" w:rsidRPr="00CC042E">
        <w:rPr>
          <w:rFonts w:cs="Times New Roman"/>
          <w:sz w:val="28"/>
          <w:szCs w:val="28"/>
        </w:rPr>
        <w:t xml:space="preserve"> </w:t>
      </w:r>
      <w:r w:rsidRPr="00CC042E">
        <w:rPr>
          <w:rFonts w:cs="Times New Roman"/>
          <w:sz w:val="28"/>
          <w:szCs w:val="28"/>
        </w:rPr>
        <w:t>= 317 nM), MERS (</w:t>
      </w:r>
      <w:r w:rsidR="00532459" w:rsidRPr="00CC042E">
        <w:rPr>
          <w:rFonts w:cs="Times New Roman"/>
          <w:sz w:val="28"/>
          <w:szCs w:val="28"/>
        </w:rPr>
        <w:t>EC</w:t>
      </w:r>
      <w:r w:rsidR="00532459">
        <w:rPr>
          <w:rFonts w:cs="Times New Roman"/>
          <w:sz w:val="28"/>
          <w:szCs w:val="28"/>
          <w:vertAlign w:val="subscript"/>
        </w:rPr>
        <w:t>9</w:t>
      </w:r>
      <w:r w:rsidR="00532459" w:rsidRPr="00CC042E">
        <w:rPr>
          <w:rFonts w:cs="Times New Roman"/>
          <w:sz w:val="28"/>
          <w:szCs w:val="28"/>
          <w:vertAlign w:val="subscript"/>
        </w:rPr>
        <w:t>0</w:t>
      </w:r>
      <w:r w:rsidRPr="00CC042E">
        <w:rPr>
          <w:rFonts w:cs="Times New Roman"/>
          <w:sz w:val="28"/>
          <w:szCs w:val="28"/>
        </w:rPr>
        <w:t xml:space="preserve"> = 351 nM) và 229E (</w:t>
      </w:r>
      <w:r w:rsidR="00532459" w:rsidRPr="00CC042E">
        <w:rPr>
          <w:rFonts w:cs="Times New Roman"/>
          <w:sz w:val="28"/>
          <w:szCs w:val="28"/>
        </w:rPr>
        <w:t>EC</w:t>
      </w:r>
      <w:r w:rsidR="00532459">
        <w:rPr>
          <w:rFonts w:cs="Times New Roman"/>
          <w:sz w:val="28"/>
          <w:szCs w:val="28"/>
          <w:vertAlign w:val="subscript"/>
        </w:rPr>
        <w:t>9</w:t>
      </w:r>
      <w:r w:rsidR="00532459" w:rsidRPr="00CC042E">
        <w:rPr>
          <w:rFonts w:cs="Times New Roman"/>
          <w:sz w:val="28"/>
          <w:szCs w:val="28"/>
          <w:vertAlign w:val="subscript"/>
        </w:rPr>
        <w:t>0</w:t>
      </w:r>
      <w:r w:rsidRPr="00CC042E">
        <w:rPr>
          <w:rFonts w:cs="Times New Roman"/>
          <w:sz w:val="28"/>
          <w:szCs w:val="28"/>
        </w:rPr>
        <w:t xml:space="preserve"> = 620 nM) trong các thử nghiệm. </w:t>
      </w:r>
      <w:r w:rsidR="00C611B3">
        <w:rPr>
          <w:rFonts w:cs="Times New Roman"/>
          <w:sz w:val="28"/>
          <w:szCs w:val="28"/>
        </w:rPr>
        <w:t>[</w:t>
      </w:r>
      <w:r w:rsidR="005D79B7">
        <w:rPr>
          <w:rFonts w:cs="Times New Roman"/>
          <w:sz w:val="28"/>
          <w:szCs w:val="28"/>
        </w:rPr>
        <w:t>30</w:t>
      </w:r>
      <w:r w:rsidR="00C611B3">
        <w:rPr>
          <w:rFonts w:cs="Times New Roman"/>
          <w:sz w:val="28"/>
          <w:szCs w:val="28"/>
        </w:rPr>
        <w:t>]</w:t>
      </w:r>
      <w:r w:rsidR="00532459">
        <w:rPr>
          <w:rFonts w:cs="Times New Roman"/>
          <w:sz w:val="28"/>
          <w:szCs w:val="28"/>
        </w:rPr>
        <w:t xml:space="preserve"> </w:t>
      </w:r>
      <w:r w:rsidRPr="00CC042E">
        <w:rPr>
          <w:rFonts w:cs="Times New Roman"/>
          <w:sz w:val="28"/>
          <w:szCs w:val="28"/>
        </w:rPr>
        <w:t xml:space="preserve">Các kết quả  nghiên cứu in vitro của PF-07321332 trên các chủng coronaviruses gồm: SARS-CoV-2 và các biến thể, SARS-CoV-1, 229E, MERS được tổng hợp tại </w:t>
      </w:r>
      <w:r w:rsidRPr="005D79B7">
        <w:rPr>
          <w:rFonts w:cs="Times New Roman"/>
          <w:b/>
          <w:sz w:val="28"/>
          <w:szCs w:val="28"/>
        </w:rPr>
        <w:t>Bả</w:t>
      </w:r>
      <w:r w:rsidR="00D44784">
        <w:rPr>
          <w:rFonts w:cs="Times New Roman"/>
          <w:b/>
          <w:sz w:val="28"/>
          <w:szCs w:val="28"/>
        </w:rPr>
        <w:t>ng 2</w:t>
      </w:r>
      <w:r w:rsidRPr="00CC042E">
        <w:rPr>
          <w:rFonts w:cs="Times New Roman"/>
          <w:sz w:val="28"/>
          <w:szCs w:val="28"/>
        </w:rPr>
        <w:t>.</w:t>
      </w:r>
    </w:p>
    <w:p w:rsidR="00381E74" w:rsidRDefault="00532459" w:rsidP="00820A72">
      <w:pPr>
        <w:ind w:firstLine="720"/>
        <w:contextualSpacing/>
        <w:jc w:val="both"/>
        <w:rPr>
          <w:rFonts w:cs="Times New Roman"/>
          <w:sz w:val="28"/>
          <w:szCs w:val="28"/>
        </w:rPr>
      </w:pPr>
      <w:r>
        <w:rPr>
          <w:rFonts w:cs="Times New Roman"/>
          <w:sz w:val="28"/>
          <w:szCs w:val="28"/>
        </w:rPr>
        <w:t>Ngoài ra t</w:t>
      </w:r>
      <w:r w:rsidR="00381E74" w:rsidRPr="00CC042E">
        <w:rPr>
          <w:rFonts w:cs="Times New Roman"/>
          <w:sz w:val="28"/>
          <w:szCs w:val="28"/>
        </w:rPr>
        <w:t xml:space="preserve">rên mô hình tế bào biểu mô đường thở ở người (HAEC - Human Airway Epithelial Cells) bị nhiễm biến thể alpha (B.1.1.7). PF-07321332 ở nồng độ 1 μM đã hoàn toàn ức chế sự nhân lên của virus trong toàn bộ thời gian thử nghiệm, còn với nồng độ 0,1 μM, sự ức chế cho thấy chỉ tạm thời. </w:t>
      </w:r>
      <w:r w:rsidR="00C611B3">
        <w:rPr>
          <w:rFonts w:cs="Times New Roman"/>
          <w:sz w:val="28"/>
          <w:szCs w:val="28"/>
        </w:rPr>
        <w:t>[</w:t>
      </w:r>
      <w:r w:rsidR="005D79B7">
        <w:rPr>
          <w:rFonts w:cs="Times New Roman"/>
          <w:sz w:val="28"/>
          <w:szCs w:val="28"/>
        </w:rPr>
        <w:t>4</w:t>
      </w:r>
      <w:r w:rsidR="00C611B3">
        <w:rPr>
          <w:rFonts w:cs="Times New Roman"/>
          <w:sz w:val="28"/>
          <w:szCs w:val="28"/>
        </w:rPr>
        <w:t>]</w:t>
      </w:r>
    </w:p>
    <w:tbl>
      <w:tblPr>
        <w:tblStyle w:val="TableGrid"/>
        <w:tblW w:w="0" w:type="auto"/>
        <w:tblLook w:val="04A0" w:firstRow="1" w:lastRow="0" w:firstColumn="1" w:lastColumn="0" w:noHBand="0" w:noVBand="1"/>
      </w:tblPr>
      <w:tblGrid>
        <w:gridCol w:w="1834"/>
        <w:gridCol w:w="3123"/>
        <w:gridCol w:w="1701"/>
        <w:gridCol w:w="1842"/>
        <w:gridCol w:w="1701"/>
      </w:tblGrid>
      <w:tr w:rsidR="00CC042E" w:rsidRPr="00CC042E" w:rsidTr="00D44784">
        <w:tc>
          <w:tcPr>
            <w:tcW w:w="10201" w:type="dxa"/>
            <w:gridSpan w:val="5"/>
            <w:tcBorders>
              <w:top w:val="nil"/>
              <w:left w:val="nil"/>
              <w:bottom w:val="nil"/>
              <w:right w:val="nil"/>
            </w:tcBorders>
            <w:vAlign w:val="center"/>
          </w:tcPr>
          <w:p w:rsidR="00381E74" w:rsidRPr="00D44784" w:rsidRDefault="00381E74" w:rsidP="00AD79B4">
            <w:pPr>
              <w:jc w:val="both"/>
              <w:rPr>
                <w:rFonts w:cs="Times New Roman"/>
                <w:i/>
                <w:sz w:val="28"/>
                <w:szCs w:val="28"/>
              </w:rPr>
            </w:pPr>
          </w:p>
        </w:tc>
      </w:tr>
      <w:tr w:rsidR="00D44784" w:rsidRPr="00CC042E" w:rsidTr="00D44784">
        <w:tc>
          <w:tcPr>
            <w:tcW w:w="10201" w:type="dxa"/>
            <w:gridSpan w:val="5"/>
            <w:tcBorders>
              <w:top w:val="nil"/>
              <w:left w:val="nil"/>
              <w:bottom w:val="single" w:sz="4" w:space="0" w:color="auto"/>
              <w:right w:val="nil"/>
            </w:tcBorders>
            <w:vAlign w:val="center"/>
          </w:tcPr>
          <w:p w:rsidR="00D44784" w:rsidRPr="00CC042E" w:rsidRDefault="00D44784" w:rsidP="00E5774D">
            <w:pPr>
              <w:rPr>
                <w:rFonts w:cs="Times New Roman"/>
                <w:b/>
                <w:sz w:val="28"/>
                <w:szCs w:val="28"/>
              </w:rPr>
            </w:pPr>
            <w:r w:rsidRPr="00D44784">
              <w:rPr>
                <w:rFonts w:cs="Times New Roman"/>
                <w:b/>
                <w:i/>
                <w:sz w:val="28"/>
                <w:szCs w:val="28"/>
              </w:rPr>
              <w:t>Bảng 2.</w:t>
            </w:r>
            <w:r w:rsidRPr="00D44784">
              <w:rPr>
                <w:rFonts w:cs="Times New Roman"/>
                <w:i/>
                <w:sz w:val="28"/>
                <w:szCs w:val="28"/>
              </w:rPr>
              <w:t xml:space="preserve"> Tổng hợp hiệu quả nghiên </w:t>
            </w:r>
            <w:r w:rsidRPr="006948C0">
              <w:rPr>
                <w:rFonts w:cs="Times New Roman"/>
                <w:i/>
                <w:sz w:val="28"/>
                <w:szCs w:val="28"/>
              </w:rPr>
              <w:t>cứu in</w:t>
            </w:r>
            <w:r w:rsidR="00E5774D" w:rsidRPr="006948C0">
              <w:rPr>
                <w:rFonts w:cs="Times New Roman"/>
                <w:i/>
                <w:sz w:val="28"/>
                <w:szCs w:val="28"/>
              </w:rPr>
              <w:t>-</w:t>
            </w:r>
            <w:r w:rsidRPr="006948C0">
              <w:rPr>
                <w:rFonts w:cs="Times New Roman"/>
                <w:i/>
                <w:sz w:val="28"/>
                <w:szCs w:val="28"/>
              </w:rPr>
              <w:t>vitro</w:t>
            </w:r>
            <w:r w:rsidRPr="00D44784">
              <w:rPr>
                <w:rFonts w:cs="Times New Roman"/>
                <w:i/>
                <w:sz w:val="28"/>
                <w:szCs w:val="28"/>
              </w:rPr>
              <w:t xml:space="preserve"> của PF-07321332 trên Coronaviruses (SARS-CoV-2 và các biến thể, SARS-CoV-1, 229E, MERS)</w:t>
            </w:r>
          </w:p>
        </w:tc>
      </w:tr>
      <w:tr w:rsidR="00CC042E" w:rsidRPr="00CC042E" w:rsidTr="00D44784">
        <w:tc>
          <w:tcPr>
            <w:tcW w:w="1834" w:type="dxa"/>
            <w:tcBorders>
              <w:top w:val="single" w:sz="4" w:space="0" w:color="auto"/>
            </w:tcBorders>
            <w:vAlign w:val="center"/>
          </w:tcPr>
          <w:p w:rsidR="00381E74" w:rsidRPr="00CC042E" w:rsidRDefault="00381E74" w:rsidP="00381E74">
            <w:pPr>
              <w:jc w:val="center"/>
              <w:rPr>
                <w:rFonts w:cs="Times New Roman"/>
                <w:b/>
                <w:sz w:val="28"/>
                <w:szCs w:val="28"/>
              </w:rPr>
            </w:pPr>
            <w:r w:rsidRPr="00CC042E">
              <w:rPr>
                <w:rFonts w:cs="Times New Roman"/>
                <w:b/>
                <w:sz w:val="28"/>
                <w:szCs w:val="28"/>
              </w:rPr>
              <w:t>Virus</w:t>
            </w:r>
          </w:p>
        </w:tc>
        <w:tc>
          <w:tcPr>
            <w:tcW w:w="3123" w:type="dxa"/>
            <w:tcBorders>
              <w:top w:val="single" w:sz="4" w:space="0" w:color="auto"/>
            </w:tcBorders>
            <w:vAlign w:val="center"/>
          </w:tcPr>
          <w:p w:rsidR="00381E74" w:rsidRPr="00CC042E" w:rsidRDefault="00381E74" w:rsidP="00381E74">
            <w:pPr>
              <w:jc w:val="center"/>
              <w:rPr>
                <w:rFonts w:cs="Times New Roman"/>
                <w:b/>
                <w:sz w:val="28"/>
                <w:szCs w:val="28"/>
              </w:rPr>
            </w:pPr>
            <w:r w:rsidRPr="00CC042E">
              <w:rPr>
                <w:rFonts w:cs="Times New Roman"/>
                <w:b/>
                <w:sz w:val="28"/>
                <w:szCs w:val="28"/>
              </w:rPr>
              <w:t>Tế bào</w:t>
            </w:r>
          </w:p>
        </w:tc>
        <w:tc>
          <w:tcPr>
            <w:tcW w:w="1701" w:type="dxa"/>
            <w:tcBorders>
              <w:top w:val="single" w:sz="4" w:space="0" w:color="auto"/>
            </w:tcBorders>
            <w:vAlign w:val="center"/>
          </w:tcPr>
          <w:p w:rsidR="00381E74" w:rsidRPr="00CC042E" w:rsidRDefault="00381E74" w:rsidP="00381E74">
            <w:pPr>
              <w:jc w:val="center"/>
              <w:rPr>
                <w:rFonts w:cs="Times New Roman"/>
                <w:b/>
                <w:sz w:val="28"/>
                <w:szCs w:val="28"/>
              </w:rPr>
            </w:pPr>
            <w:r w:rsidRPr="00CC042E">
              <w:rPr>
                <w:rFonts w:cs="Times New Roman"/>
                <w:b/>
                <w:sz w:val="28"/>
                <w:szCs w:val="28"/>
              </w:rPr>
              <w:t>EC50 (nM)</w:t>
            </w:r>
          </w:p>
        </w:tc>
        <w:tc>
          <w:tcPr>
            <w:tcW w:w="1842" w:type="dxa"/>
            <w:tcBorders>
              <w:top w:val="single" w:sz="4" w:space="0" w:color="auto"/>
            </w:tcBorders>
            <w:vAlign w:val="center"/>
          </w:tcPr>
          <w:p w:rsidR="00381E74" w:rsidRPr="00CC042E" w:rsidRDefault="00381E74" w:rsidP="00381E74">
            <w:pPr>
              <w:jc w:val="center"/>
              <w:rPr>
                <w:rFonts w:cs="Times New Roman"/>
                <w:b/>
                <w:sz w:val="28"/>
                <w:szCs w:val="28"/>
              </w:rPr>
            </w:pPr>
            <w:r w:rsidRPr="00CC042E">
              <w:rPr>
                <w:rFonts w:cs="Times New Roman"/>
                <w:b/>
                <w:sz w:val="28"/>
                <w:szCs w:val="28"/>
              </w:rPr>
              <w:t>EC90 (nM)</w:t>
            </w:r>
          </w:p>
        </w:tc>
        <w:tc>
          <w:tcPr>
            <w:tcW w:w="1701" w:type="dxa"/>
            <w:tcBorders>
              <w:top w:val="single" w:sz="4" w:space="0" w:color="auto"/>
            </w:tcBorders>
            <w:vAlign w:val="center"/>
          </w:tcPr>
          <w:p w:rsidR="00381E74" w:rsidRPr="00CC042E" w:rsidRDefault="00381E74" w:rsidP="00381E74">
            <w:pPr>
              <w:jc w:val="center"/>
              <w:rPr>
                <w:rFonts w:cs="Times New Roman"/>
                <w:b/>
                <w:sz w:val="28"/>
                <w:szCs w:val="28"/>
              </w:rPr>
            </w:pPr>
            <w:r w:rsidRPr="00CC042E">
              <w:rPr>
                <w:rFonts w:cs="Times New Roman"/>
                <w:b/>
                <w:sz w:val="28"/>
                <w:szCs w:val="28"/>
              </w:rPr>
              <w:t>Tài liệu tham khảo</w:t>
            </w:r>
          </w:p>
        </w:tc>
      </w:tr>
      <w:tr w:rsidR="00CC042E" w:rsidRPr="00CC042E" w:rsidTr="005D79B7">
        <w:tc>
          <w:tcPr>
            <w:tcW w:w="1834" w:type="dxa"/>
            <w:vMerge w:val="restart"/>
            <w:vAlign w:val="center"/>
          </w:tcPr>
          <w:p w:rsidR="00381E74" w:rsidRPr="00CC042E" w:rsidRDefault="00381E74" w:rsidP="00381E74">
            <w:pPr>
              <w:jc w:val="center"/>
              <w:rPr>
                <w:rFonts w:cs="Times New Roman"/>
                <w:sz w:val="28"/>
                <w:szCs w:val="28"/>
              </w:rPr>
            </w:pPr>
            <w:r w:rsidRPr="00CC042E">
              <w:rPr>
                <w:rFonts w:cs="Times New Roman"/>
                <w:sz w:val="28"/>
                <w:szCs w:val="28"/>
              </w:rPr>
              <w:lastRenderedPageBreak/>
              <w:t>B.1.1.7 (Alpha)</w:t>
            </w:r>
          </w:p>
        </w:tc>
        <w:tc>
          <w:tcPr>
            <w:tcW w:w="3123" w:type="dxa"/>
            <w:vAlign w:val="center"/>
          </w:tcPr>
          <w:p w:rsidR="00381E74" w:rsidRPr="00CC042E" w:rsidRDefault="00381E74" w:rsidP="0016006D">
            <w:pPr>
              <w:jc w:val="center"/>
              <w:rPr>
                <w:rFonts w:cs="Times New Roman"/>
                <w:sz w:val="28"/>
                <w:szCs w:val="28"/>
              </w:rPr>
            </w:pPr>
            <w:r w:rsidRPr="00CC042E">
              <w:rPr>
                <w:rFonts w:cs="Times New Roman"/>
                <w:sz w:val="28"/>
                <w:szCs w:val="28"/>
              </w:rPr>
              <w:t>Vero E6</w:t>
            </w:r>
          </w:p>
        </w:tc>
        <w:tc>
          <w:tcPr>
            <w:tcW w:w="1701" w:type="dxa"/>
            <w:vAlign w:val="center"/>
          </w:tcPr>
          <w:p w:rsidR="00381E74" w:rsidRPr="00CC042E" w:rsidRDefault="00381E74" w:rsidP="00381E74">
            <w:pPr>
              <w:jc w:val="center"/>
              <w:rPr>
                <w:rFonts w:cs="Times New Roman"/>
                <w:sz w:val="28"/>
                <w:szCs w:val="28"/>
              </w:rPr>
            </w:pPr>
            <w:r w:rsidRPr="00CC042E">
              <w:rPr>
                <w:rFonts w:cs="Times New Roman"/>
                <w:sz w:val="28"/>
                <w:szCs w:val="28"/>
              </w:rPr>
              <w:t>270 ± 40</w:t>
            </w:r>
          </w:p>
        </w:tc>
        <w:tc>
          <w:tcPr>
            <w:tcW w:w="1842" w:type="dxa"/>
            <w:vAlign w:val="center"/>
          </w:tcPr>
          <w:p w:rsidR="00381E74" w:rsidRPr="00CC042E" w:rsidRDefault="00381E74" w:rsidP="00381E74">
            <w:pPr>
              <w:jc w:val="center"/>
              <w:rPr>
                <w:rFonts w:cs="Times New Roman"/>
                <w:sz w:val="28"/>
                <w:szCs w:val="28"/>
              </w:rPr>
            </w:pPr>
            <w:r w:rsidRPr="00CC042E">
              <w:rPr>
                <w:rFonts w:cs="Times New Roman"/>
                <w:sz w:val="28"/>
                <w:szCs w:val="28"/>
              </w:rPr>
              <w:t>-</w:t>
            </w:r>
          </w:p>
        </w:tc>
        <w:tc>
          <w:tcPr>
            <w:tcW w:w="1701" w:type="dxa"/>
            <w:vMerge w:val="restart"/>
            <w:vAlign w:val="center"/>
          </w:tcPr>
          <w:p w:rsidR="00381E74" w:rsidRPr="005D79B7" w:rsidRDefault="005D79B7" w:rsidP="005D79B7">
            <w:pPr>
              <w:jc w:val="center"/>
              <w:rPr>
                <w:rFonts w:cs="Times New Roman"/>
                <w:sz w:val="28"/>
                <w:szCs w:val="28"/>
              </w:rPr>
            </w:pPr>
            <w:r w:rsidRPr="005D79B7">
              <w:rPr>
                <w:rFonts w:cs="Times New Roman"/>
                <w:sz w:val="28"/>
                <w:szCs w:val="28"/>
              </w:rPr>
              <w:t>[4]</w:t>
            </w:r>
          </w:p>
        </w:tc>
      </w:tr>
      <w:tr w:rsidR="00CC042E" w:rsidRPr="00CC042E" w:rsidTr="005D79B7">
        <w:trPr>
          <w:trHeight w:val="647"/>
        </w:trPr>
        <w:tc>
          <w:tcPr>
            <w:tcW w:w="1834" w:type="dxa"/>
            <w:vMerge/>
            <w:vAlign w:val="center"/>
          </w:tcPr>
          <w:p w:rsidR="00381E74" w:rsidRPr="00CC042E" w:rsidRDefault="00381E74" w:rsidP="00381E74">
            <w:pPr>
              <w:jc w:val="center"/>
              <w:rPr>
                <w:rFonts w:cs="Times New Roman"/>
                <w:sz w:val="28"/>
                <w:szCs w:val="28"/>
              </w:rPr>
            </w:pPr>
          </w:p>
        </w:tc>
        <w:tc>
          <w:tcPr>
            <w:tcW w:w="3123" w:type="dxa"/>
            <w:vAlign w:val="center"/>
          </w:tcPr>
          <w:p w:rsidR="00381E74" w:rsidRPr="00CC042E" w:rsidRDefault="00381E74" w:rsidP="0016006D">
            <w:pPr>
              <w:jc w:val="center"/>
              <w:rPr>
                <w:rFonts w:cs="Times New Roman"/>
                <w:sz w:val="28"/>
                <w:szCs w:val="28"/>
              </w:rPr>
            </w:pPr>
            <w:r w:rsidRPr="00CC042E">
              <w:rPr>
                <w:rFonts w:cs="Times New Roman"/>
                <w:sz w:val="28"/>
                <w:szCs w:val="28"/>
              </w:rPr>
              <w:t>A549 (ACE2/TMPRSS2)</w:t>
            </w:r>
          </w:p>
        </w:tc>
        <w:tc>
          <w:tcPr>
            <w:tcW w:w="1701" w:type="dxa"/>
            <w:vAlign w:val="center"/>
          </w:tcPr>
          <w:p w:rsidR="00381E74" w:rsidRPr="00CC042E" w:rsidRDefault="00381E74" w:rsidP="00381E74">
            <w:pPr>
              <w:jc w:val="center"/>
              <w:rPr>
                <w:rFonts w:cs="Times New Roman"/>
                <w:sz w:val="28"/>
                <w:szCs w:val="28"/>
              </w:rPr>
            </w:pPr>
            <w:r w:rsidRPr="00CC042E">
              <w:rPr>
                <w:rFonts w:cs="Times New Roman"/>
                <w:sz w:val="28"/>
                <w:szCs w:val="28"/>
              </w:rPr>
              <w:t>110 ± 60</w:t>
            </w:r>
          </w:p>
        </w:tc>
        <w:tc>
          <w:tcPr>
            <w:tcW w:w="1842" w:type="dxa"/>
            <w:vAlign w:val="center"/>
          </w:tcPr>
          <w:p w:rsidR="00381E74" w:rsidRPr="00CC042E" w:rsidRDefault="00381E74" w:rsidP="00381E74">
            <w:pPr>
              <w:jc w:val="center"/>
              <w:rPr>
                <w:rFonts w:cs="Times New Roman"/>
                <w:sz w:val="28"/>
                <w:szCs w:val="28"/>
              </w:rPr>
            </w:pPr>
            <w:r w:rsidRPr="00CC042E">
              <w:rPr>
                <w:rFonts w:cs="Times New Roman"/>
                <w:sz w:val="28"/>
                <w:szCs w:val="28"/>
              </w:rPr>
              <w:t>-</w:t>
            </w:r>
          </w:p>
        </w:tc>
        <w:tc>
          <w:tcPr>
            <w:tcW w:w="1701" w:type="dxa"/>
            <w:vMerge/>
            <w:vAlign w:val="center"/>
          </w:tcPr>
          <w:p w:rsidR="00381E74" w:rsidRPr="005D79B7" w:rsidRDefault="00381E74" w:rsidP="005D79B7">
            <w:pPr>
              <w:jc w:val="center"/>
              <w:rPr>
                <w:rFonts w:cs="Times New Roman"/>
                <w:sz w:val="28"/>
                <w:szCs w:val="28"/>
              </w:rPr>
            </w:pPr>
          </w:p>
        </w:tc>
      </w:tr>
      <w:tr w:rsidR="00CC042E" w:rsidRPr="00CC042E" w:rsidTr="005D79B7">
        <w:tc>
          <w:tcPr>
            <w:tcW w:w="1834" w:type="dxa"/>
            <w:vMerge w:val="restart"/>
            <w:vAlign w:val="center"/>
          </w:tcPr>
          <w:p w:rsidR="00381E74" w:rsidRPr="00CC042E" w:rsidRDefault="00381E74" w:rsidP="00381E74">
            <w:pPr>
              <w:jc w:val="center"/>
              <w:rPr>
                <w:rFonts w:cs="Times New Roman"/>
                <w:sz w:val="28"/>
                <w:szCs w:val="28"/>
              </w:rPr>
            </w:pPr>
            <w:r w:rsidRPr="00CC042E">
              <w:rPr>
                <w:rFonts w:cs="Times New Roman"/>
                <w:sz w:val="28"/>
                <w:szCs w:val="28"/>
              </w:rPr>
              <w:t>B.1.351 (Beta)</w:t>
            </w:r>
          </w:p>
        </w:tc>
        <w:tc>
          <w:tcPr>
            <w:tcW w:w="3123" w:type="dxa"/>
            <w:vAlign w:val="center"/>
          </w:tcPr>
          <w:p w:rsidR="00381E74" w:rsidRPr="00CC042E" w:rsidRDefault="00381E74" w:rsidP="0016006D">
            <w:pPr>
              <w:jc w:val="center"/>
              <w:rPr>
                <w:rFonts w:cs="Times New Roman"/>
                <w:sz w:val="28"/>
                <w:szCs w:val="28"/>
              </w:rPr>
            </w:pPr>
            <w:r w:rsidRPr="00CC042E">
              <w:rPr>
                <w:rFonts w:cs="Times New Roman"/>
                <w:sz w:val="28"/>
                <w:szCs w:val="28"/>
              </w:rPr>
              <w:t>Vero E6</w:t>
            </w:r>
          </w:p>
        </w:tc>
        <w:tc>
          <w:tcPr>
            <w:tcW w:w="1701" w:type="dxa"/>
            <w:vAlign w:val="center"/>
          </w:tcPr>
          <w:p w:rsidR="00381E74" w:rsidRPr="00CC042E" w:rsidRDefault="00381E74" w:rsidP="00381E74">
            <w:pPr>
              <w:jc w:val="center"/>
              <w:rPr>
                <w:rFonts w:cs="Times New Roman"/>
                <w:sz w:val="28"/>
                <w:szCs w:val="28"/>
              </w:rPr>
            </w:pPr>
            <w:r w:rsidRPr="00CC042E">
              <w:rPr>
                <w:rFonts w:cs="Times New Roman"/>
                <w:sz w:val="28"/>
                <w:szCs w:val="28"/>
              </w:rPr>
              <w:t>140 ± 40</w:t>
            </w:r>
          </w:p>
        </w:tc>
        <w:tc>
          <w:tcPr>
            <w:tcW w:w="1842" w:type="dxa"/>
            <w:vAlign w:val="center"/>
          </w:tcPr>
          <w:p w:rsidR="00381E74" w:rsidRPr="00CC042E" w:rsidRDefault="00381E74" w:rsidP="00381E74">
            <w:pPr>
              <w:jc w:val="center"/>
              <w:rPr>
                <w:rFonts w:cs="Times New Roman"/>
                <w:sz w:val="28"/>
                <w:szCs w:val="28"/>
              </w:rPr>
            </w:pPr>
            <w:r w:rsidRPr="00CC042E">
              <w:rPr>
                <w:rFonts w:cs="Times New Roman"/>
                <w:sz w:val="28"/>
                <w:szCs w:val="28"/>
              </w:rPr>
              <w:t>-</w:t>
            </w:r>
          </w:p>
        </w:tc>
        <w:tc>
          <w:tcPr>
            <w:tcW w:w="1701" w:type="dxa"/>
            <w:vMerge/>
            <w:vAlign w:val="center"/>
          </w:tcPr>
          <w:p w:rsidR="00381E74" w:rsidRPr="005D79B7" w:rsidRDefault="00381E74" w:rsidP="005D79B7">
            <w:pPr>
              <w:jc w:val="center"/>
              <w:rPr>
                <w:rFonts w:cs="Times New Roman"/>
                <w:sz w:val="28"/>
                <w:szCs w:val="28"/>
              </w:rPr>
            </w:pPr>
          </w:p>
        </w:tc>
      </w:tr>
      <w:tr w:rsidR="00CC042E" w:rsidRPr="00CC042E" w:rsidTr="005D79B7">
        <w:tc>
          <w:tcPr>
            <w:tcW w:w="1834" w:type="dxa"/>
            <w:vMerge/>
            <w:vAlign w:val="center"/>
          </w:tcPr>
          <w:p w:rsidR="00381E74" w:rsidRPr="00CC042E" w:rsidRDefault="00381E74" w:rsidP="00381E74">
            <w:pPr>
              <w:jc w:val="center"/>
              <w:rPr>
                <w:rFonts w:cs="Times New Roman"/>
                <w:sz w:val="28"/>
                <w:szCs w:val="28"/>
              </w:rPr>
            </w:pPr>
          </w:p>
        </w:tc>
        <w:tc>
          <w:tcPr>
            <w:tcW w:w="3123" w:type="dxa"/>
            <w:vAlign w:val="center"/>
          </w:tcPr>
          <w:p w:rsidR="00381E74" w:rsidRPr="00CC042E" w:rsidRDefault="00381E74" w:rsidP="0016006D">
            <w:pPr>
              <w:jc w:val="center"/>
              <w:rPr>
                <w:rFonts w:cs="Times New Roman"/>
                <w:sz w:val="28"/>
                <w:szCs w:val="28"/>
              </w:rPr>
            </w:pPr>
            <w:r w:rsidRPr="00CC042E">
              <w:rPr>
                <w:rFonts w:cs="Times New Roman"/>
                <w:sz w:val="28"/>
                <w:szCs w:val="28"/>
              </w:rPr>
              <w:t>A549 (ACE2/TMPRSS2)</w:t>
            </w:r>
          </w:p>
        </w:tc>
        <w:tc>
          <w:tcPr>
            <w:tcW w:w="1701" w:type="dxa"/>
            <w:vAlign w:val="center"/>
          </w:tcPr>
          <w:p w:rsidR="00381E74" w:rsidRPr="00CC042E" w:rsidRDefault="00381E74" w:rsidP="00381E74">
            <w:pPr>
              <w:jc w:val="center"/>
              <w:rPr>
                <w:rFonts w:cs="Times New Roman"/>
                <w:sz w:val="28"/>
                <w:szCs w:val="28"/>
              </w:rPr>
            </w:pPr>
            <w:r w:rsidRPr="00CC042E">
              <w:rPr>
                <w:rFonts w:cs="Times New Roman"/>
                <w:sz w:val="28"/>
                <w:szCs w:val="28"/>
              </w:rPr>
              <w:t>70 ± 20</w:t>
            </w:r>
          </w:p>
        </w:tc>
        <w:tc>
          <w:tcPr>
            <w:tcW w:w="1842" w:type="dxa"/>
            <w:vAlign w:val="center"/>
          </w:tcPr>
          <w:p w:rsidR="00381E74" w:rsidRPr="00CC042E" w:rsidRDefault="00381E74" w:rsidP="00381E74">
            <w:pPr>
              <w:jc w:val="center"/>
              <w:rPr>
                <w:rFonts w:cs="Times New Roman"/>
                <w:sz w:val="28"/>
                <w:szCs w:val="28"/>
              </w:rPr>
            </w:pPr>
            <w:r w:rsidRPr="00CC042E">
              <w:rPr>
                <w:rFonts w:cs="Times New Roman"/>
                <w:sz w:val="28"/>
                <w:szCs w:val="28"/>
              </w:rPr>
              <w:t>-</w:t>
            </w:r>
          </w:p>
        </w:tc>
        <w:tc>
          <w:tcPr>
            <w:tcW w:w="1701" w:type="dxa"/>
            <w:vMerge/>
            <w:vAlign w:val="center"/>
          </w:tcPr>
          <w:p w:rsidR="00381E74" w:rsidRPr="005D79B7" w:rsidRDefault="00381E74" w:rsidP="005D79B7">
            <w:pPr>
              <w:jc w:val="center"/>
              <w:rPr>
                <w:rFonts w:cs="Times New Roman"/>
                <w:sz w:val="28"/>
                <w:szCs w:val="28"/>
              </w:rPr>
            </w:pPr>
          </w:p>
        </w:tc>
      </w:tr>
      <w:tr w:rsidR="00CC042E" w:rsidRPr="00CC042E" w:rsidTr="005D79B7">
        <w:tc>
          <w:tcPr>
            <w:tcW w:w="1834" w:type="dxa"/>
            <w:vMerge w:val="restart"/>
            <w:vAlign w:val="center"/>
          </w:tcPr>
          <w:p w:rsidR="00381E74" w:rsidRPr="00CC042E" w:rsidRDefault="00381E74" w:rsidP="00381E74">
            <w:pPr>
              <w:jc w:val="center"/>
              <w:rPr>
                <w:rFonts w:cs="Times New Roman"/>
                <w:sz w:val="28"/>
                <w:szCs w:val="28"/>
              </w:rPr>
            </w:pPr>
            <w:r w:rsidRPr="00CC042E">
              <w:rPr>
                <w:rFonts w:cs="Times New Roman"/>
                <w:sz w:val="28"/>
                <w:szCs w:val="28"/>
              </w:rPr>
              <w:t>B.1.1.28.1</w:t>
            </w:r>
          </w:p>
          <w:p w:rsidR="00626EF6" w:rsidRPr="00CC042E" w:rsidRDefault="00626EF6" w:rsidP="00381E74">
            <w:pPr>
              <w:jc w:val="center"/>
              <w:rPr>
                <w:rFonts w:cs="Times New Roman"/>
                <w:sz w:val="28"/>
                <w:szCs w:val="28"/>
              </w:rPr>
            </w:pPr>
            <w:r w:rsidRPr="00CC042E">
              <w:rPr>
                <w:rFonts w:cs="Times New Roman"/>
                <w:sz w:val="28"/>
                <w:szCs w:val="28"/>
              </w:rPr>
              <w:t>(Gamma)</w:t>
            </w:r>
          </w:p>
        </w:tc>
        <w:tc>
          <w:tcPr>
            <w:tcW w:w="3123" w:type="dxa"/>
            <w:vAlign w:val="center"/>
          </w:tcPr>
          <w:p w:rsidR="00381E74" w:rsidRPr="00CC042E" w:rsidRDefault="00381E74" w:rsidP="0016006D">
            <w:pPr>
              <w:jc w:val="center"/>
              <w:rPr>
                <w:rFonts w:cs="Times New Roman"/>
                <w:sz w:val="28"/>
                <w:szCs w:val="28"/>
              </w:rPr>
            </w:pPr>
            <w:r w:rsidRPr="00CC042E">
              <w:rPr>
                <w:rFonts w:cs="Times New Roman"/>
                <w:sz w:val="28"/>
                <w:szCs w:val="28"/>
              </w:rPr>
              <w:t>Vero E6</w:t>
            </w:r>
          </w:p>
        </w:tc>
        <w:tc>
          <w:tcPr>
            <w:tcW w:w="1701" w:type="dxa"/>
            <w:vAlign w:val="center"/>
          </w:tcPr>
          <w:p w:rsidR="00381E74" w:rsidRPr="00CC042E" w:rsidRDefault="00381E74" w:rsidP="00381E74">
            <w:pPr>
              <w:jc w:val="center"/>
              <w:rPr>
                <w:rFonts w:cs="Times New Roman"/>
                <w:sz w:val="28"/>
                <w:szCs w:val="28"/>
              </w:rPr>
            </w:pPr>
            <w:r w:rsidRPr="00CC042E">
              <w:rPr>
                <w:rFonts w:cs="Times New Roman"/>
                <w:sz w:val="28"/>
                <w:szCs w:val="28"/>
              </w:rPr>
              <w:t>280 ± 20</w:t>
            </w:r>
          </w:p>
        </w:tc>
        <w:tc>
          <w:tcPr>
            <w:tcW w:w="1842" w:type="dxa"/>
            <w:vAlign w:val="center"/>
          </w:tcPr>
          <w:p w:rsidR="00381E74" w:rsidRPr="00CC042E" w:rsidRDefault="00381E74" w:rsidP="00381E74">
            <w:pPr>
              <w:jc w:val="center"/>
              <w:rPr>
                <w:rFonts w:cs="Times New Roman"/>
                <w:sz w:val="28"/>
                <w:szCs w:val="28"/>
              </w:rPr>
            </w:pPr>
            <w:r w:rsidRPr="00CC042E">
              <w:rPr>
                <w:rFonts w:cs="Times New Roman"/>
                <w:sz w:val="28"/>
                <w:szCs w:val="28"/>
              </w:rPr>
              <w:t>-</w:t>
            </w:r>
          </w:p>
        </w:tc>
        <w:tc>
          <w:tcPr>
            <w:tcW w:w="1701" w:type="dxa"/>
            <w:vMerge/>
            <w:vAlign w:val="center"/>
          </w:tcPr>
          <w:p w:rsidR="00381E74" w:rsidRPr="005D79B7" w:rsidRDefault="00381E74" w:rsidP="005D79B7">
            <w:pPr>
              <w:jc w:val="center"/>
              <w:rPr>
                <w:rFonts w:cs="Times New Roman"/>
                <w:sz w:val="28"/>
                <w:szCs w:val="28"/>
              </w:rPr>
            </w:pPr>
          </w:p>
        </w:tc>
      </w:tr>
      <w:tr w:rsidR="00CC042E" w:rsidRPr="00CC042E" w:rsidTr="005D79B7">
        <w:tc>
          <w:tcPr>
            <w:tcW w:w="1834" w:type="dxa"/>
            <w:vMerge/>
            <w:vAlign w:val="center"/>
          </w:tcPr>
          <w:p w:rsidR="00381E74" w:rsidRPr="00CC042E" w:rsidRDefault="00381E74" w:rsidP="00381E74">
            <w:pPr>
              <w:jc w:val="center"/>
              <w:rPr>
                <w:rFonts w:cs="Times New Roman"/>
                <w:sz w:val="28"/>
                <w:szCs w:val="28"/>
              </w:rPr>
            </w:pPr>
          </w:p>
        </w:tc>
        <w:tc>
          <w:tcPr>
            <w:tcW w:w="3123" w:type="dxa"/>
            <w:vAlign w:val="center"/>
          </w:tcPr>
          <w:p w:rsidR="00381E74" w:rsidRPr="00CC042E" w:rsidRDefault="00381E74" w:rsidP="0016006D">
            <w:pPr>
              <w:jc w:val="center"/>
              <w:rPr>
                <w:rFonts w:cs="Times New Roman"/>
                <w:sz w:val="28"/>
                <w:szCs w:val="28"/>
              </w:rPr>
            </w:pPr>
            <w:r w:rsidRPr="00CC042E">
              <w:rPr>
                <w:rFonts w:cs="Times New Roman"/>
                <w:sz w:val="28"/>
                <w:szCs w:val="28"/>
              </w:rPr>
              <w:t>A549 (ACE2/TMPRSS2)</w:t>
            </w:r>
          </w:p>
        </w:tc>
        <w:tc>
          <w:tcPr>
            <w:tcW w:w="1701" w:type="dxa"/>
            <w:vAlign w:val="center"/>
          </w:tcPr>
          <w:p w:rsidR="00381E74" w:rsidRPr="00CC042E" w:rsidRDefault="00381E74" w:rsidP="00381E74">
            <w:pPr>
              <w:jc w:val="center"/>
              <w:rPr>
                <w:rFonts w:cs="Times New Roman"/>
                <w:sz w:val="28"/>
                <w:szCs w:val="28"/>
              </w:rPr>
            </w:pPr>
            <w:r w:rsidRPr="00CC042E">
              <w:rPr>
                <w:rFonts w:cs="Times New Roman"/>
                <w:sz w:val="28"/>
                <w:szCs w:val="28"/>
              </w:rPr>
              <w:t>120 ± 40</w:t>
            </w:r>
          </w:p>
        </w:tc>
        <w:tc>
          <w:tcPr>
            <w:tcW w:w="1842" w:type="dxa"/>
            <w:vAlign w:val="center"/>
          </w:tcPr>
          <w:p w:rsidR="00381E74" w:rsidRPr="00CC042E" w:rsidRDefault="00381E74" w:rsidP="00381E74">
            <w:pPr>
              <w:jc w:val="center"/>
              <w:rPr>
                <w:rFonts w:cs="Times New Roman"/>
                <w:sz w:val="28"/>
                <w:szCs w:val="28"/>
              </w:rPr>
            </w:pPr>
            <w:r w:rsidRPr="00CC042E">
              <w:rPr>
                <w:rFonts w:cs="Times New Roman"/>
                <w:sz w:val="28"/>
                <w:szCs w:val="28"/>
              </w:rPr>
              <w:t>-</w:t>
            </w:r>
          </w:p>
        </w:tc>
        <w:tc>
          <w:tcPr>
            <w:tcW w:w="1701" w:type="dxa"/>
            <w:vMerge/>
            <w:vAlign w:val="center"/>
          </w:tcPr>
          <w:p w:rsidR="00381E74" w:rsidRPr="005D79B7" w:rsidRDefault="00381E74" w:rsidP="005D79B7">
            <w:pPr>
              <w:jc w:val="center"/>
              <w:rPr>
                <w:rFonts w:cs="Times New Roman"/>
                <w:sz w:val="28"/>
                <w:szCs w:val="28"/>
              </w:rPr>
            </w:pPr>
          </w:p>
        </w:tc>
      </w:tr>
      <w:tr w:rsidR="00CC042E" w:rsidRPr="00CC042E" w:rsidTr="005D79B7">
        <w:tc>
          <w:tcPr>
            <w:tcW w:w="1834" w:type="dxa"/>
            <w:vMerge w:val="restart"/>
            <w:vAlign w:val="center"/>
          </w:tcPr>
          <w:p w:rsidR="00381E74" w:rsidRPr="00CC042E" w:rsidRDefault="00381E74" w:rsidP="00381E74">
            <w:pPr>
              <w:jc w:val="center"/>
              <w:rPr>
                <w:rFonts w:cs="Times New Roman"/>
                <w:sz w:val="28"/>
                <w:szCs w:val="28"/>
              </w:rPr>
            </w:pPr>
            <w:r w:rsidRPr="00CC042E">
              <w:rPr>
                <w:rFonts w:cs="Times New Roman"/>
                <w:sz w:val="28"/>
                <w:szCs w:val="28"/>
              </w:rPr>
              <w:t>B.1.617.2</w:t>
            </w:r>
          </w:p>
          <w:p w:rsidR="00AA66C9" w:rsidRPr="00CC042E" w:rsidRDefault="00AA66C9" w:rsidP="00381E74">
            <w:pPr>
              <w:jc w:val="center"/>
              <w:rPr>
                <w:rFonts w:cs="Times New Roman"/>
                <w:sz w:val="28"/>
                <w:szCs w:val="28"/>
              </w:rPr>
            </w:pPr>
            <w:r w:rsidRPr="00CC042E">
              <w:rPr>
                <w:rFonts w:cs="Times New Roman"/>
                <w:sz w:val="28"/>
                <w:szCs w:val="28"/>
              </w:rPr>
              <w:t>(</w:t>
            </w:r>
            <w:r w:rsidR="00626EF6" w:rsidRPr="00CC042E">
              <w:rPr>
                <w:rFonts w:cs="Times New Roman"/>
                <w:sz w:val="28"/>
                <w:szCs w:val="28"/>
              </w:rPr>
              <w:t>Delta</w:t>
            </w:r>
            <w:r w:rsidRPr="00CC042E">
              <w:rPr>
                <w:rFonts w:cs="Times New Roman"/>
                <w:sz w:val="28"/>
                <w:szCs w:val="28"/>
                <w:shd w:val="clear" w:color="auto" w:fill="FFFFFF"/>
              </w:rPr>
              <w:t>)</w:t>
            </w:r>
          </w:p>
        </w:tc>
        <w:tc>
          <w:tcPr>
            <w:tcW w:w="3123" w:type="dxa"/>
            <w:vAlign w:val="center"/>
          </w:tcPr>
          <w:p w:rsidR="00381E74" w:rsidRPr="00CC042E" w:rsidRDefault="00381E74" w:rsidP="0016006D">
            <w:pPr>
              <w:jc w:val="center"/>
              <w:rPr>
                <w:rFonts w:cs="Times New Roman"/>
                <w:sz w:val="28"/>
                <w:szCs w:val="28"/>
              </w:rPr>
            </w:pPr>
            <w:r w:rsidRPr="00CC042E">
              <w:rPr>
                <w:rFonts w:cs="Times New Roman"/>
                <w:sz w:val="28"/>
                <w:szCs w:val="28"/>
              </w:rPr>
              <w:t>Vero E6</w:t>
            </w:r>
          </w:p>
        </w:tc>
        <w:tc>
          <w:tcPr>
            <w:tcW w:w="1701" w:type="dxa"/>
            <w:vAlign w:val="center"/>
          </w:tcPr>
          <w:p w:rsidR="00381E74" w:rsidRPr="00CC042E" w:rsidRDefault="00381E74" w:rsidP="00381E74">
            <w:pPr>
              <w:jc w:val="center"/>
              <w:rPr>
                <w:rFonts w:cs="Times New Roman"/>
                <w:sz w:val="28"/>
                <w:szCs w:val="28"/>
              </w:rPr>
            </w:pPr>
            <w:r w:rsidRPr="00CC042E">
              <w:rPr>
                <w:rFonts w:cs="Times New Roman"/>
                <w:sz w:val="28"/>
                <w:szCs w:val="28"/>
              </w:rPr>
              <w:t>210 ± 30</w:t>
            </w:r>
          </w:p>
        </w:tc>
        <w:tc>
          <w:tcPr>
            <w:tcW w:w="1842" w:type="dxa"/>
            <w:vAlign w:val="center"/>
          </w:tcPr>
          <w:p w:rsidR="00381E74" w:rsidRPr="00CC042E" w:rsidRDefault="00381E74" w:rsidP="00381E74">
            <w:pPr>
              <w:jc w:val="center"/>
              <w:rPr>
                <w:rFonts w:cs="Times New Roman"/>
                <w:sz w:val="28"/>
                <w:szCs w:val="28"/>
              </w:rPr>
            </w:pPr>
            <w:r w:rsidRPr="00CC042E">
              <w:rPr>
                <w:rFonts w:cs="Times New Roman"/>
                <w:sz w:val="28"/>
                <w:szCs w:val="28"/>
              </w:rPr>
              <w:t>-</w:t>
            </w:r>
          </w:p>
        </w:tc>
        <w:tc>
          <w:tcPr>
            <w:tcW w:w="1701" w:type="dxa"/>
            <w:vMerge/>
            <w:vAlign w:val="center"/>
          </w:tcPr>
          <w:p w:rsidR="00381E74" w:rsidRPr="005D79B7" w:rsidRDefault="00381E74" w:rsidP="005D79B7">
            <w:pPr>
              <w:jc w:val="center"/>
              <w:rPr>
                <w:rFonts w:cs="Times New Roman"/>
                <w:sz w:val="28"/>
                <w:szCs w:val="28"/>
              </w:rPr>
            </w:pPr>
          </w:p>
        </w:tc>
      </w:tr>
      <w:tr w:rsidR="00CC042E" w:rsidRPr="00CC042E" w:rsidTr="005D79B7">
        <w:tc>
          <w:tcPr>
            <w:tcW w:w="1834" w:type="dxa"/>
            <w:vMerge/>
            <w:tcBorders>
              <w:bottom w:val="single" w:sz="4" w:space="0" w:color="auto"/>
            </w:tcBorders>
            <w:vAlign w:val="center"/>
          </w:tcPr>
          <w:p w:rsidR="00381E74" w:rsidRPr="00CC042E" w:rsidRDefault="00381E74" w:rsidP="00381E74">
            <w:pPr>
              <w:jc w:val="center"/>
              <w:rPr>
                <w:rFonts w:cs="Times New Roman"/>
                <w:sz w:val="28"/>
                <w:szCs w:val="28"/>
              </w:rPr>
            </w:pPr>
          </w:p>
        </w:tc>
        <w:tc>
          <w:tcPr>
            <w:tcW w:w="3123" w:type="dxa"/>
            <w:tcBorders>
              <w:bottom w:val="single" w:sz="4" w:space="0" w:color="auto"/>
            </w:tcBorders>
            <w:vAlign w:val="center"/>
          </w:tcPr>
          <w:p w:rsidR="00381E74" w:rsidRPr="00CC042E" w:rsidRDefault="00381E74" w:rsidP="0016006D">
            <w:pPr>
              <w:jc w:val="center"/>
              <w:rPr>
                <w:rFonts w:cs="Times New Roman"/>
                <w:sz w:val="28"/>
                <w:szCs w:val="28"/>
              </w:rPr>
            </w:pPr>
            <w:r w:rsidRPr="00CC042E">
              <w:rPr>
                <w:rFonts w:cs="Times New Roman"/>
                <w:sz w:val="28"/>
                <w:szCs w:val="28"/>
              </w:rPr>
              <w:t>A549 (ACE2/TMPRSS2)</w:t>
            </w:r>
          </w:p>
        </w:tc>
        <w:tc>
          <w:tcPr>
            <w:tcW w:w="1701" w:type="dxa"/>
            <w:tcBorders>
              <w:bottom w:val="single" w:sz="4" w:space="0" w:color="auto"/>
            </w:tcBorders>
            <w:vAlign w:val="center"/>
          </w:tcPr>
          <w:p w:rsidR="00381E74" w:rsidRPr="00CC042E" w:rsidRDefault="00381E74" w:rsidP="00381E74">
            <w:pPr>
              <w:jc w:val="center"/>
              <w:rPr>
                <w:rFonts w:cs="Times New Roman"/>
                <w:sz w:val="28"/>
                <w:szCs w:val="28"/>
              </w:rPr>
            </w:pPr>
            <w:r w:rsidRPr="00CC042E">
              <w:rPr>
                <w:rFonts w:cs="Times New Roman"/>
                <w:sz w:val="28"/>
                <w:szCs w:val="28"/>
              </w:rPr>
              <w:t>260 ± 50</w:t>
            </w:r>
          </w:p>
        </w:tc>
        <w:tc>
          <w:tcPr>
            <w:tcW w:w="1842" w:type="dxa"/>
            <w:tcBorders>
              <w:bottom w:val="single" w:sz="4" w:space="0" w:color="auto"/>
            </w:tcBorders>
            <w:vAlign w:val="center"/>
          </w:tcPr>
          <w:p w:rsidR="00381E74" w:rsidRPr="00CC042E" w:rsidRDefault="00381E74" w:rsidP="00381E74">
            <w:pPr>
              <w:jc w:val="center"/>
              <w:rPr>
                <w:rFonts w:cs="Times New Roman"/>
                <w:sz w:val="28"/>
                <w:szCs w:val="28"/>
              </w:rPr>
            </w:pPr>
            <w:r w:rsidRPr="00CC042E">
              <w:rPr>
                <w:rFonts w:cs="Times New Roman"/>
                <w:sz w:val="28"/>
                <w:szCs w:val="28"/>
              </w:rPr>
              <w:t>-</w:t>
            </w:r>
          </w:p>
        </w:tc>
        <w:tc>
          <w:tcPr>
            <w:tcW w:w="1701" w:type="dxa"/>
            <w:vMerge/>
            <w:tcBorders>
              <w:bottom w:val="single" w:sz="4" w:space="0" w:color="auto"/>
            </w:tcBorders>
            <w:vAlign w:val="center"/>
          </w:tcPr>
          <w:p w:rsidR="00381E74" w:rsidRPr="005D79B7" w:rsidRDefault="00381E74" w:rsidP="005D79B7">
            <w:pPr>
              <w:jc w:val="center"/>
              <w:rPr>
                <w:rFonts w:cs="Times New Roman"/>
                <w:sz w:val="28"/>
                <w:szCs w:val="28"/>
              </w:rPr>
            </w:pPr>
          </w:p>
        </w:tc>
      </w:tr>
      <w:tr w:rsidR="00CC042E" w:rsidRPr="00CC042E" w:rsidTr="005D79B7">
        <w:tc>
          <w:tcPr>
            <w:tcW w:w="1834" w:type="dxa"/>
            <w:vMerge w:val="restart"/>
            <w:vAlign w:val="center"/>
          </w:tcPr>
          <w:p w:rsidR="00381E74" w:rsidRPr="00CC042E" w:rsidRDefault="00381E74" w:rsidP="00381E74">
            <w:pPr>
              <w:jc w:val="center"/>
              <w:rPr>
                <w:rFonts w:cs="Times New Roman"/>
                <w:sz w:val="28"/>
                <w:szCs w:val="28"/>
              </w:rPr>
            </w:pPr>
            <w:r w:rsidRPr="00CC042E">
              <w:rPr>
                <w:rFonts w:cs="Times New Roman"/>
                <w:sz w:val="28"/>
                <w:szCs w:val="28"/>
              </w:rPr>
              <w:t>SARS-CoV-2</w:t>
            </w:r>
          </w:p>
        </w:tc>
        <w:tc>
          <w:tcPr>
            <w:tcW w:w="3123" w:type="dxa"/>
            <w:vAlign w:val="center"/>
          </w:tcPr>
          <w:p w:rsidR="00381E74" w:rsidRPr="00CC042E" w:rsidRDefault="00381E74" w:rsidP="0016006D">
            <w:pPr>
              <w:jc w:val="center"/>
              <w:rPr>
                <w:rFonts w:cs="Times New Roman"/>
                <w:sz w:val="28"/>
                <w:szCs w:val="28"/>
              </w:rPr>
            </w:pPr>
            <w:r w:rsidRPr="00CC042E">
              <w:rPr>
                <w:rFonts w:cs="Times New Roman"/>
                <w:sz w:val="28"/>
                <w:szCs w:val="28"/>
              </w:rPr>
              <w:t>Vero E6 + 2 μM CP-100356</w:t>
            </w:r>
          </w:p>
        </w:tc>
        <w:tc>
          <w:tcPr>
            <w:tcW w:w="1701" w:type="dxa"/>
            <w:vAlign w:val="center"/>
          </w:tcPr>
          <w:p w:rsidR="00381E74" w:rsidRPr="00CC042E" w:rsidRDefault="00381E74" w:rsidP="00381E74">
            <w:pPr>
              <w:jc w:val="center"/>
              <w:rPr>
                <w:rFonts w:cs="Times New Roman"/>
                <w:sz w:val="28"/>
                <w:szCs w:val="28"/>
              </w:rPr>
            </w:pPr>
            <w:r w:rsidRPr="00CC042E">
              <w:rPr>
                <w:rFonts w:cs="Times New Roman"/>
                <w:sz w:val="28"/>
                <w:szCs w:val="28"/>
              </w:rPr>
              <w:t>74,5</w:t>
            </w:r>
          </w:p>
        </w:tc>
        <w:tc>
          <w:tcPr>
            <w:tcW w:w="1842" w:type="dxa"/>
            <w:vAlign w:val="center"/>
          </w:tcPr>
          <w:p w:rsidR="00381E74" w:rsidRPr="00CC042E" w:rsidRDefault="00381E74" w:rsidP="00381E74">
            <w:pPr>
              <w:jc w:val="center"/>
              <w:rPr>
                <w:rFonts w:cs="Times New Roman"/>
                <w:sz w:val="28"/>
                <w:szCs w:val="28"/>
              </w:rPr>
            </w:pPr>
            <w:r w:rsidRPr="00CC042E">
              <w:rPr>
                <w:rFonts w:cs="Times New Roman"/>
                <w:sz w:val="28"/>
                <w:szCs w:val="28"/>
              </w:rPr>
              <w:t>155</w:t>
            </w:r>
          </w:p>
        </w:tc>
        <w:tc>
          <w:tcPr>
            <w:tcW w:w="1701" w:type="dxa"/>
            <w:vMerge w:val="restart"/>
            <w:vAlign w:val="center"/>
          </w:tcPr>
          <w:p w:rsidR="00381E74" w:rsidRPr="005D79B7" w:rsidRDefault="005D79B7" w:rsidP="005D79B7">
            <w:pPr>
              <w:jc w:val="center"/>
              <w:rPr>
                <w:rFonts w:cs="Times New Roman"/>
                <w:sz w:val="28"/>
                <w:szCs w:val="28"/>
              </w:rPr>
            </w:pPr>
            <w:r w:rsidRPr="005D79B7">
              <w:rPr>
                <w:rFonts w:cs="Times New Roman"/>
                <w:sz w:val="28"/>
                <w:szCs w:val="28"/>
              </w:rPr>
              <w:t>[30]</w:t>
            </w:r>
          </w:p>
        </w:tc>
      </w:tr>
      <w:tr w:rsidR="00CC042E" w:rsidRPr="00CC042E" w:rsidTr="00381E74">
        <w:tc>
          <w:tcPr>
            <w:tcW w:w="1834" w:type="dxa"/>
            <w:vMerge/>
            <w:vAlign w:val="center"/>
          </w:tcPr>
          <w:p w:rsidR="00381E74" w:rsidRPr="00CC042E" w:rsidRDefault="00381E74" w:rsidP="00381E74">
            <w:pPr>
              <w:jc w:val="center"/>
              <w:rPr>
                <w:rFonts w:cs="Times New Roman"/>
                <w:sz w:val="28"/>
                <w:szCs w:val="28"/>
              </w:rPr>
            </w:pPr>
          </w:p>
        </w:tc>
        <w:tc>
          <w:tcPr>
            <w:tcW w:w="3123" w:type="dxa"/>
            <w:vAlign w:val="center"/>
          </w:tcPr>
          <w:p w:rsidR="00381E74" w:rsidRPr="00CC042E" w:rsidRDefault="00381E74" w:rsidP="0016006D">
            <w:pPr>
              <w:jc w:val="center"/>
              <w:rPr>
                <w:rFonts w:cs="Times New Roman"/>
                <w:sz w:val="28"/>
                <w:szCs w:val="28"/>
              </w:rPr>
            </w:pPr>
            <w:r w:rsidRPr="00CC042E">
              <w:rPr>
                <w:rFonts w:cs="Times New Roman"/>
                <w:sz w:val="28"/>
                <w:szCs w:val="28"/>
              </w:rPr>
              <w:t>A549-ACE2</w:t>
            </w:r>
          </w:p>
        </w:tc>
        <w:tc>
          <w:tcPr>
            <w:tcW w:w="1701" w:type="dxa"/>
            <w:vAlign w:val="center"/>
          </w:tcPr>
          <w:p w:rsidR="00381E74" w:rsidRPr="00CC042E" w:rsidRDefault="00381E74" w:rsidP="00381E74">
            <w:pPr>
              <w:jc w:val="center"/>
              <w:rPr>
                <w:rFonts w:cs="Times New Roman"/>
                <w:sz w:val="28"/>
                <w:szCs w:val="28"/>
              </w:rPr>
            </w:pPr>
            <w:r w:rsidRPr="00CC042E">
              <w:rPr>
                <w:rFonts w:cs="Times New Roman"/>
                <w:sz w:val="28"/>
                <w:szCs w:val="28"/>
              </w:rPr>
              <w:t>77,9</w:t>
            </w:r>
          </w:p>
        </w:tc>
        <w:tc>
          <w:tcPr>
            <w:tcW w:w="1842" w:type="dxa"/>
            <w:vAlign w:val="center"/>
          </w:tcPr>
          <w:p w:rsidR="00381E74" w:rsidRPr="00CC042E" w:rsidRDefault="00381E74" w:rsidP="00381E74">
            <w:pPr>
              <w:jc w:val="center"/>
              <w:rPr>
                <w:rFonts w:cs="Times New Roman"/>
                <w:sz w:val="28"/>
                <w:szCs w:val="28"/>
              </w:rPr>
            </w:pPr>
            <w:r w:rsidRPr="00CC042E">
              <w:rPr>
                <w:rFonts w:cs="Times New Roman"/>
                <w:sz w:val="28"/>
                <w:szCs w:val="28"/>
              </w:rPr>
              <w:t>215</w:t>
            </w:r>
          </w:p>
        </w:tc>
        <w:tc>
          <w:tcPr>
            <w:tcW w:w="1701" w:type="dxa"/>
            <w:vMerge/>
          </w:tcPr>
          <w:p w:rsidR="00381E74" w:rsidRPr="00CC042E" w:rsidRDefault="00381E74" w:rsidP="00AD79B4">
            <w:pPr>
              <w:jc w:val="both"/>
              <w:rPr>
                <w:rFonts w:cs="Times New Roman"/>
                <w:sz w:val="28"/>
                <w:szCs w:val="28"/>
              </w:rPr>
            </w:pPr>
          </w:p>
        </w:tc>
      </w:tr>
      <w:tr w:rsidR="00CC042E" w:rsidRPr="00CC042E" w:rsidTr="00381E74">
        <w:tc>
          <w:tcPr>
            <w:tcW w:w="1834" w:type="dxa"/>
            <w:vMerge/>
            <w:vAlign w:val="center"/>
          </w:tcPr>
          <w:p w:rsidR="00381E74" w:rsidRPr="00CC042E" w:rsidRDefault="00381E74" w:rsidP="00381E74">
            <w:pPr>
              <w:jc w:val="center"/>
              <w:rPr>
                <w:rFonts w:cs="Times New Roman"/>
                <w:sz w:val="28"/>
                <w:szCs w:val="28"/>
              </w:rPr>
            </w:pPr>
          </w:p>
        </w:tc>
        <w:tc>
          <w:tcPr>
            <w:tcW w:w="3123" w:type="dxa"/>
            <w:vAlign w:val="center"/>
          </w:tcPr>
          <w:p w:rsidR="00381E74" w:rsidRPr="00CC042E" w:rsidRDefault="00381E74" w:rsidP="0016006D">
            <w:pPr>
              <w:jc w:val="center"/>
              <w:rPr>
                <w:rFonts w:cs="Times New Roman"/>
                <w:sz w:val="28"/>
                <w:szCs w:val="28"/>
              </w:rPr>
            </w:pPr>
            <w:r w:rsidRPr="00CC042E">
              <w:rPr>
                <w:rFonts w:cs="Times New Roman"/>
                <w:sz w:val="28"/>
                <w:szCs w:val="28"/>
              </w:rPr>
              <w:t>dNHBE ngày 3</w:t>
            </w:r>
          </w:p>
        </w:tc>
        <w:tc>
          <w:tcPr>
            <w:tcW w:w="1701" w:type="dxa"/>
            <w:vAlign w:val="center"/>
          </w:tcPr>
          <w:p w:rsidR="00381E74" w:rsidRPr="00CC042E" w:rsidRDefault="00381E74" w:rsidP="00381E74">
            <w:pPr>
              <w:jc w:val="center"/>
              <w:rPr>
                <w:rFonts w:cs="Times New Roman"/>
                <w:sz w:val="28"/>
                <w:szCs w:val="28"/>
              </w:rPr>
            </w:pPr>
            <w:r w:rsidRPr="00CC042E">
              <w:rPr>
                <w:rFonts w:cs="Times New Roman"/>
                <w:sz w:val="28"/>
                <w:szCs w:val="28"/>
              </w:rPr>
              <w:t>61,8</w:t>
            </w:r>
          </w:p>
        </w:tc>
        <w:tc>
          <w:tcPr>
            <w:tcW w:w="1842" w:type="dxa"/>
            <w:vAlign w:val="center"/>
          </w:tcPr>
          <w:p w:rsidR="00381E74" w:rsidRPr="00CC042E" w:rsidRDefault="00381E74" w:rsidP="00381E74">
            <w:pPr>
              <w:jc w:val="center"/>
              <w:rPr>
                <w:rFonts w:cs="Times New Roman"/>
                <w:sz w:val="28"/>
                <w:szCs w:val="28"/>
              </w:rPr>
            </w:pPr>
            <w:r w:rsidRPr="00CC042E">
              <w:rPr>
                <w:rFonts w:cs="Times New Roman"/>
                <w:sz w:val="28"/>
                <w:szCs w:val="28"/>
              </w:rPr>
              <w:t>181</w:t>
            </w:r>
          </w:p>
        </w:tc>
        <w:tc>
          <w:tcPr>
            <w:tcW w:w="1701" w:type="dxa"/>
            <w:vMerge/>
          </w:tcPr>
          <w:p w:rsidR="00381E74" w:rsidRPr="00CC042E" w:rsidRDefault="00381E74" w:rsidP="00AD79B4">
            <w:pPr>
              <w:jc w:val="both"/>
              <w:rPr>
                <w:rFonts w:cs="Times New Roman"/>
                <w:sz w:val="28"/>
                <w:szCs w:val="28"/>
              </w:rPr>
            </w:pPr>
          </w:p>
        </w:tc>
      </w:tr>
      <w:tr w:rsidR="00CC042E" w:rsidRPr="00CC042E" w:rsidTr="00381E74">
        <w:tc>
          <w:tcPr>
            <w:tcW w:w="1834" w:type="dxa"/>
            <w:vMerge/>
            <w:vAlign w:val="center"/>
          </w:tcPr>
          <w:p w:rsidR="00381E74" w:rsidRPr="00CC042E" w:rsidRDefault="00381E74" w:rsidP="00381E74">
            <w:pPr>
              <w:jc w:val="center"/>
              <w:rPr>
                <w:rFonts w:cs="Times New Roman"/>
                <w:sz w:val="28"/>
                <w:szCs w:val="28"/>
              </w:rPr>
            </w:pPr>
          </w:p>
        </w:tc>
        <w:tc>
          <w:tcPr>
            <w:tcW w:w="3123" w:type="dxa"/>
            <w:vAlign w:val="center"/>
          </w:tcPr>
          <w:p w:rsidR="00381E74" w:rsidRPr="00CC042E" w:rsidRDefault="00381E74" w:rsidP="0016006D">
            <w:pPr>
              <w:jc w:val="center"/>
              <w:rPr>
                <w:rFonts w:cs="Times New Roman"/>
                <w:sz w:val="28"/>
                <w:szCs w:val="28"/>
              </w:rPr>
            </w:pPr>
            <w:r w:rsidRPr="00CC042E">
              <w:rPr>
                <w:rFonts w:cs="Times New Roman"/>
                <w:sz w:val="28"/>
                <w:szCs w:val="28"/>
              </w:rPr>
              <w:t>dNHBE ngày 5</w:t>
            </w:r>
          </w:p>
        </w:tc>
        <w:tc>
          <w:tcPr>
            <w:tcW w:w="1701" w:type="dxa"/>
            <w:vAlign w:val="center"/>
          </w:tcPr>
          <w:p w:rsidR="00381E74" w:rsidRPr="00CC042E" w:rsidRDefault="00381E74" w:rsidP="00381E74">
            <w:pPr>
              <w:jc w:val="center"/>
              <w:rPr>
                <w:rFonts w:cs="Times New Roman"/>
                <w:sz w:val="28"/>
                <w:szCs w:val="28"/>
              </w:rPr>
            </w:pPr>
            <w:r w:rsidRPr="00CC042E">
              <w:rPr>
                <w:rFonts w:cs="Times New Roman"/>
                <w:sz w:val="28"/>
                <w:szCs w:val="28"/>
              </w:rPr>
              <w:t>32,6</w:t>
            </w:r>
          </w:p>
        </w:tc>
        <w:tc>
          <w:tcPr>
            <w:tcW w:w="1842" w:type="dxa"/>
            <w:vAlign w:val="center"/>
          </w:tcPr>
          <w:p w:rsidR="00381E74" w:rsidRPr="00CC042E" w:rsidRDefault="00381E74" w:rsidP="00381E74">
            <w:pPr>
              <w:jc w:val="center"/>
              <w:rPr>
                <w:rFonts w:cs="Times New Roman"/>
                <w:sz w:val="28"/>
                <w:szCs w:val="28"/>
              </w:rPr>
            </w:pPr>
            <w:r w:rsidRPr="00CC042E">
              <w:rPr>
                <w:rFonts w:cs="Times New Roman"/>
                <w:sz w:val="28"/>
                <w:szCs w:val="28"/>
              </w:rPr>
              <w:t>56,1</w:t>
            </w:r>
          </w:p>
        </w:tc>
        <w:tc>
          <w:tcPr>
            <w:tcW w:w="1701" w:type="dxa"/>
            <w:vMerge/>
          </w:tcPr>
          <w:p w:rsidR="00381E74" w:rsidRPr="00CC042E" w:rsidRDefault="00381E74" w:rsidP="00AD79B4">
            <w:pPr>
              <w:jc w:val="both"/>
              <w:rPr>
                <w:rFonts w:cs="Times New Roman"/>
                <w:sz w:val="28"/>
                <w:szCs w:val="28"/>
              </w:rPr>
            </w:pPr>
          </w:p>
        </w:tc>
      </w:tr>
      <w:tr w:rsidR="00CC042E" w:rsidRPr="00CC042E" w:rsidTr="00381E74">
        <w:tc>
          <w:tcPr>
            <w:tcW w:w="1834" w:type="dxa"/>
            <w:vAlign w:val="center"/>
          </w:tcPr>
          <w:p w:rsidR="00381E74" w:rsidRPr="00CC042E" w:rsidRDefault="00381E74" w:rsidP="00381E74">
            <w:pPr>
              <w:jc w:val="center"/>
              <w:rPr>
                <w:rFonts w:cs="Times New Roman"/>
                <w:sz w:val="28"/>
                <w:szCs w:val="28"/>
              </w:rPr>
            </w:pPr>
            <w:r w:rsidRPr="00CC042E">
              <w:rPr>
                <w:rFonts w:cs="Times New Roman"/>
                <w:sz w:val="28"/>
                <w:szCs w:val="28"/>
              </w:rPr>
              <w:t>SARS-CoV-1</w:t>
            </w:r>
          </w:p>
        </w:tc>
        <w:tc>
          <w:tcPr>
            <w:tcW w:w="3123" w:type="dxa"/>
            <w:vAlign w:val="center"/>
          </w:tcPr>
          <w:p w:rsidR="00381E74" w:rsidRPr="00CC042E" w:rsidRDefault="00381E74" w:rsidP="0016006D">
            <w:pPr>
              <w:jc w:val="center"/>
              <w:rPr>
                <w:rFonts w:cs="Times New Roman"/>
                <w:sz w:val="28"/>
                <w:szCs w:val="28"/>
              </w:rPr>
            </w:pPr>
            <w:r w:rsidRPr="00CC042E">
              <w:rPr>
                <w:rFonts w:cs="Times New Roman"/>
                <w:sz w:val="28"/>
                <w:szCs w:val="28"/>
              </w:rPr>
              <w:t>Vero E6 + 2 μM CP-100356</w:t>
            </w:r>
          </w:p>
        </w:tc>
        <w:tc>
          <w:tcPr>
            <w:tcW w:w="1701" w:type="dxa"/>
            <w:vAlign w:val="center"/>
          </w:tcPr>
          <w:p w:rsidR="00381E74" w:rsidRPr="00CC042E" w:rsidRDefault="00381E74" w:rsidP="00381E74">
            <w:pPr>
              <w:jc w:val="center"/>
              <w:rPr>
                <w:rFonts w:cs="Times New Roman"/>
                <w:sz w:val="28"/>
                <w:szCs w:val="28"/>
              </w:rPr>
            </w:pPr>
            <w:r w:rsidRPr="00CC042E">
              <w:rPr>
                <w:rFonts w:cs="Times New Roman"/>
                <w:sz w:val="28"/>
                <w:szCs w:val="28"/>
              </w:rPr>
              <w:t>151</w:t>
            </w:r>
          </w:p>
        </w:tc>
        <w:tc>
          <w:tcPr>
            <w:tcW w:w="1842" w:type="dxa"/>
            <w:vAlign w:val="center"/>
          </w:tcPr>
          <w:p w:rsidR="00381E74" w:rsidRPr="00CC042E" w:rsidRDefault="00381E74" w:rsidP="00381E74">
            <w:pPr>
              <w:jc w:val="center"/>
              <w:rPr>
                <w:rFonts w:cs="Times New Roman"/>
                <w:sz w:val="28"/>
                <w:szCs w:val="28"/>
              </w:rPr>
            </w:pPr>
            <w:r w:rsidRPr="00CC042E">
              <w:rPr>
                <w:rFonts w:cs="Times New Roman"/>
                <w:sz w:val="28"/>
                <w:szCs w:val="28"/>
              </w:rPr>
              <w:t>317</w:t>
            </w:r>
          </w:p>
        </w:tc>
        <w:tc>
          <w:tcPr>
            <w:tcW w:w="1701" w:type="dxa"/>
            <w:vMerge/>
          </w:tcPr>
          <w:p w:rsidR="00381E74" w:rsidRPr="00CC042E" w:rsidRDefault="00381E74" w:rsidP="00AD79B4">
            <w:pPr>
              <w:jc w:val="both"/>
              <w:rPr>
                <w:rFonts w:cs="Times New Roman"/>
                <w:sz w:val="28"/>
                <w:szCs w:val="28"/>
              </w:rPr>
            </w:pPr>
          </w:p>
        </w:tc>
      </w:tr>
      <w:tr w:rsidR="00CC042E" w:rsidRPr="00CC042E" w:rsidTr="00381E74">
        <w:tc>
          <w:tcPr>
            <w:tcW w:w="1834" w:type="dxa"/>
            <w:vAlign w:val="center"/>
          </w:tcPr>
          <w:p w:rsidR="00381E74" w:rsidRPr="00CC042E" w:rsidRDefault="00381E74" w:rsidP="00381E74">
            <w:pPr>
              <w:jc w:val="center"/>
              <w:rPr>
                <w:rFonts w:cs="Times New Roman"/>
                <w:sz w:val="28"/>
                <w:szCs w:val="28"/>
              </w:rPr>
            </w:pPr>
            <w:r w:rsidRPr="00CC042E">
              <w:rPr>
                <w:rFonts w:cs="Times New Roman"/>
                <w:sz w:val="28"/>
                <w:szCs w:val="28"/>
              </w:rPr>
              <w:t>229E</w:t>
            </w:r>
          </w:p>
        </w:tc>
        <w:tc>
          <w:tcPr>
            <w:tcW w:w="3123" w:type="dxa"/>
            <w:vAlign w:val="center"/>
          </w:tcPr>
          <w:p w:rsidR="00381E74" w:rsidRPr="00CC042E" w:rsidRDefault="00381E74" w:rsidP="0016006D">
            <w:pPr>
              <w:jc w:val="center"/>
              <w:rPr>
                <w:rFonts w:cs="Times New Roman"/>
                <w:sz w:val="28"/>
                <w:szCs w:val="28"/>
              </w:rPr>
            </w:pPr>
            <w:r w:rsidRPr="00CC042E">
              <w:rPr>
                <w:rFonts w:cs="Times New Roman"/>
                <w:sz w:val="28"/>
                <w:szCs w:val="28"/>
              </w:rPr>
              <w:t>MRC-5</w:t>
            </w:r>
          </w:p>
        </w:tc>
        <w:tc>
          <w:tcPr>
            <w:tcW w:w="1701" w:type="dxa"/>
            <w:vAlign w:val="center"/>
          </w:tcPr>
          <w:p w:rsidR="00381E74" w:rsidRPr="00CC042E" w:rsidRDefault="00381E74" w:rsidP="00381E74">
            <w:pPr>
              <w:jc w:val="center"/>
              <w:rPr>
                <w:rFonts w:cs="Times New Roman"/>
                <w:sz w:val="28"/>
                <w:szCs w:val="28"/>
              </w:rPr>
            </w:pPr>
            <w:r w:rsidRPr="00CC042E">
              <w:rPr>
                <w:rFonts w:cs="Times New Roman"/>
                <w:sz w:val="28"/>
                <w:szCs w:val="28"/>
              </w:rPr>
              <w:t>190</w:t>
            </w:r>
          </w:p>
        </w:tc>
        <w:tc>
          <w:tcPr>
            <w:tcW w:w="1842" w:type="dxa"/>
            <w:vAlign w:val="center"/>
          </w:tcPr>
          <w:p w:rsidR="00381E74" w:rsidRPr="00CC042E" w:rsidRDefault="00381E74" w:rsidP="00381E74">
            <w:pPr>
              <w:jc w:val="center"/>
              <w:rPr>
                <w:rFonts w:cs="Times New Roman"/>
                <w:sz w:val="28"/>
                <w:szCs w:val="28"/>
              </w:rPr>
            </w:pPr>
            <w:r w:rsidRPr="00CC042E">
              <w:rPr>
                <w:rFonts w:cs="Times New Roman"/>
                <w:sz w:val="28"/>
                <w:szCs w:val="28"/>
              </w:rPr>
              <w:t>620</w:t>
            </w:r>
          </w:p>
        </w:tc>
        <w:tc>
          <w:tcPr>
            <w:tcW w:w="1701" w:type="dxa"/>
            <w:vMerge/>
          </w:tcPr>
          <w:p w:rsidR="00381E74" w:rsidRPr="00CC042E" w:rsidRDefault="00381E74" w:rsidP="00AD79B4">
            <w:pPr>
              <w:jc w:val="both"/>
              <w:rPr>
                <w:rFonts w:cs="Times New Roman"/>
                <w:sz w:val="28"/>
                <w:szCs w:val="28"/>
              </w:rPr>
            </w:pPr>
          </w:p>
        </w:tc>
      </w:tr>
      <w:tr w:rsidR="00CC042E" w:rsidRPr="00CC042E" w:rsidTr="00381E74">
        <w:tc>
          <w:tcPr>
            <w:tcW w:w="1834" w:type="dxa"/>
            <w:tcBorders>
              <w:bottom w:val="single" w:sz="4" w:space="0" w:color="auto"/>
            </w:tcBorders>
            <w:vAlign w:val="center"/>
          </w:tcPr>
          <w:p w:rsidR="00381E74" w:rsidRPr="00CC042E" w:rsidRDefault="00381E74" w:rsidP="00381E74">
            <w:pPr>
              <w:jc w:val="center"/>
              <w:rPr>
                <w:rFonts w:cs="Times New Roman"/>
                <w:sz w:val="28"/>
                <w:szCs w:val="28"/>
              </w:rPr>
            </w:pPr>
            <w:r w:rsidRPr="00CC042E">
              <w:rPr>
                <w:rFonts w:cs="Times New Roman"/>
                <w:sz w:val="28"/>
                <w:szCs w:val="28"/>
              </w:rPr>
              <w:t>MERS</w:t>
            </w:r>
          </w:p>
        </w:tc>
        <w:tc>
          <w:tcPr>
            <w:tcW w:w="3123" w:type="dxa"/>
            <w:tcBorders>
              <w:bottom w:val="single" w:sz="4" w:space="0" w:color="auto"/>
            </w:tcBorders>
            <w:vAlign w:val="center"/>
          </w:tcPr>
          <w:p w:rsidR="00381E74" w:rsidRPr="00CC042E" w:rsidRDefault="00381E74" w:rsidP="0016006D">
            <w:pPr>
              <w:jc w:val="center"/>
              <w:rPr>
                <w:rFonts w:cs="Times New Roman"/>
                <w:sz w:val="28"/>
                <w:szCs w:val="28"/>
              </w:rPr>
            </w:pPr>
            <w:r w:rsidRPr="00CC042E">
              <w:rPr>
                <w:rFonts w:cs="Times New Roman"/>
                <w:sz w:val="28"/>
                <w:szCs w:val="28"/>
              </w:rPr>
              <w:t>Vero 81 + 1 μM CP-100356</w:t>
            </w:r>
          </w:p>
        </w:tc>
        <w:tc>
          <w:tcPr>
            <w:tcW w:w="1701" w:type="dxa"/>
            <w:tcBorders>
              <w:bottom w:val="single" w:sz="4" w:space="0" w:color="auto"/>
            </w:tcBorders>
            <w:vAlign w:val="center"/>
          </w:tcPr>
          <w:p w:rsidR="00381E74" w:rsidRPr="00CC042E" w:rsidRDefault="00381E74" w:rsidP="00381E74">
            <w:pPr>
              <w:jc w:val="center"/>
              <w:rPr>
                <w:rFonts w:cs="Times New Roman"/>
                <w:sz w:val="28"/>
                <w:szCs w:val="28"/>
              </w:rPr>
            </w:pPr>
            <w:r w:rsidRPr="00CC042E">
              <w:rPr>
                <w:rFonts w:cs="Times New Roman"/>
                <w:sz w:val="28"/>
                <w:szCs w:val="28"/>
              </w:rPr>
              <w:t>166</w:t>
            </w:r>
          </w:p>
        </w:tc>
        <w:tc>
          <w:tcPr>
            <w:tcW w:w="1842" w:type="dxa"/>
            <w:tcBorders>
              <w:bottom w:val="single" w:sz="4" w:space="0" w:color="auto"/>
            </w:tcBorders>
            <w:vAlign w:val="center"/>
          </w:tcPr>
          <w:p w:rsidR="00381E74" w:rsidRPr="00CC042E" w:rsidRDefault="00381E74" w:rsidP="00381E74">
            <w:pPr>
              <w:jc w:val="center"/>
              <w:rPr>
                <w:rFonts w:cs="Times New Roman"/>
                <w:sz w:val="28"/>
                <w:szCs w:val="28"/>
              </w:rPr>
            </w:pPr>
            <w:r w:rsidRPr="00CC042E">
              <w:rPr>
                <w:rFonts w:cs="Times New Roman"/>
                <w:sz w:val="28"/>
                <w:szCs w:val="28"/>
              </w:rPr>
              <w:t>351</w:t>
            </w:r>
          </w:p>
        </w:tc>
        <w:tc>
          <w:tcPr>
            <w:tcW w:w="1701" w:type="dxa"/>
            <w:vMerge/>
            <w:tcBorders>
              <w:bottom w:val="single" w:sz="4" w:space="0" w:color="auto"/>
            </w:tcBorders>
          </w:tcPr>
          <w:p w:rsidR="00381E74" w:rsidRPr="00CC042E" w:rsidRDefault="00381E74" w:rsidP="00AD79B4">
            <w:pPr>
              <w:jc w:val="both"/>
              <w:rPr>
                <w:rFonts w:cs="Times New Roman"/>
                <w:sz w:val="28"/>
                <w:szCs w:val="28"/>
              </w:rPr>
            </w:pPr>
          </w:p>
        </w:tc>
      </w:tr>
      <w:tr w:rsidR="00CC042E" w:rsidRPr="00CC042E" w:rsidTr="00381E74">
        <w:tc>
          <w:tcPr>
            <w:tcW w:w="10201" w:type="dxa"/>
            <w:gridSpan w:val="5"/>
            <w:tcBorders>
              <w:top w:val="single" w:sz="4" w:space="0" w:color="auto"/>
              <w:left w:val="nil"/>
              <w:bottom w:val="nil"/>
              <w:right w:val="nil"/>
            </w:tcBorders>
            <w:vAlign w:val="center"/>
          </w:tcPr>
          <w:p w:rsidR="00356908" w:rsidRPr="00CC042E" w:rsidRDefault="00381E74" w:rsidP="00AD79B4">
            <w:pPr>
              <w:jc w:val="both"/>
              <w:rPr>
                <w:rFonts w:cs="Times New Roman"/>
                <w:sz w:val="28"/>
                <w:szCs w:val="28"/>
              </w:rPr>
            </w:pPr>
            <w:r w:rsidRPr="00CC042E">
              <w:rPr>
                <w:rFonts w:cs="Times New Roman"/>
                <w:sz w:val="28"/>
                <w:szCs w:val="28"/>
              </w:rPr>
              <w:t xml:space="preserve">SARS-CoV: severe acute respiratory syndrome-related coronavirus (Hội chứng hô hấp cấp tính nặng do Coronavirus). </w:t>
            </w:r>
          </w:p>
          <w:p w:rsidR="00356908" w:rsidRPr="00CC042E" w:rsidRDefault="00381E74" w:rsidP="00AD79B4">
            <w:pPr>
              <w:jc w:val="both"/>
              <w:rPr>
                <w:rFonts w:cs="Times New Roman"/>
                <w:sz w:val="28"/>
                <w:szCs w:val="28"/>
              </w:rPr>
            </w:pPr>
            <w:r w:rsidRPr="00CC042E">
              <w:rPr>
                <w:rFonts w:cs="Times New Roman"/>
                <w:sz w:val="28"/>
                <w:szCs w:val="28"/>
              </w:rPr>
              <w:t xml:space="preserve">MERS: Middle East respiratory syndrome (Hội chứng Hô hấp Trung đông). </w:t>
            </w:r>
          </w:p>
          <w:p w:rsidR="00356908" w:rsidRPr="00CC042E" w:rsidRDefault="00381E74" w:rsidP="00AD79B4">
            <w:pPr>
              <w:jc w:val="both"/>
              <w:rPr>
                <w:rFonts w:cs="Times New Roman"/>
                <w:sz w:val="28"/>
                <w:szCs w:val="28"/>
              </w:rPr>
            </w:pPr>
            <w:r w:rsidRPr="00CC042E">
              <w:rPr>
                <w:rFonts w:cs="Times New Roman"/>
                <w:sz w:val="28"/>
                <w:szCs w:val="28"/>
              </w:rPr>
              <w:t xml:space="preserve">229E: coronavirus 229E ở người.  </w:t>
            </w:r>
          </w:p>
          <w:p w:rsidR="00381E74" w:rsidRPr="00CC042E" w:rsidRDefault="00381E74" w:rsidP="00AD79B4">
            <w:pPr>
              <w:jc w:val="both"/>
              <w:rPr>
                <w:rFonts w:cs="Times New Roman"/>
                <w:sz w:val="28"/>
                <w:szCs w:val="28"/>
              </w:rPr>
            </w:pPr>
            <w:r w:rsidRPr="00CC042E">
              <w:rPr>
                <w:rFonts w:cs="Times New Roman"/>
                <w:sz w:val="28"/>
                <w:szCs w:val="28"/>
              </w:rPr>
              <w:t xml:space="preserve">dNHBE: differentiated </w:t>
            </w:r>
            <w:r w:rsidR="00356908" w:rsidRPr="00CC042E">
              <w:rPr>
                <w:rFonts w:cs="Times New Roman"/>
                <w:sz w:val="28"/>
                <w:szCs w:val="28"/>
              </w:rPr>
              <w:t>N</w:t>
            </w:r>
            <w:r w:rsidRPr="00CC042E">
              <w:rPr>
                <w:rFonts w:cs="Times New Roman"/>
                <w:sz w:val="28"/>
                <w:szCs w:val="28"/>
              </w:rPr>
              <w:t xml:space="preserve">ormal </w:t>
            </w:r>
            <w:r w:rsidR="00356908" w:rsidRPr="00CC042E">
              <w:rPr>
                <w:rFonts w:cs="Times New Roman"/>
                <w:sz w:val="28"/>
                <w:szCs w:val="28"/>
              </w:rPr>
              <w:t>Human Bronchial E</w:t>
            </w:r>
            <w:r w:rsidRPr="00CC042E">
              <w:rPr>
                <w:rFonts w:cs="Times New Roman"/>
                <w:sz w:val="28"/>
                <w:szCs w:val="28"/>
              </w:rPr>
              <w:t>pithelial (biểu mô phế quản người bình thường biệt hóa).</w:t>
            </w:r>
          </w:p>
          <w:p w:rsidR="00381E74" w:rsidRDefault="00381E74" w:rsidP="00AD79B4">
            <w:pPr>
              <w:jc w:val="both"/>
              <w:rPr>
                <w:rFonts w:cs="Times New Roman"/>
                <w:sz w:val="28"/>
                <w:szCs w:val="28"/>
              </w:rPr>
            </w:pPr>
            <w:r w:rsidRPr="00CC042E">
              <w:rPr>
                <w:rFonts w:cs="Times New Roman"/>
                <w:sz w:val="28"/>
                <w:szCs w:val="28"/>
              </w:rPr>
              <w:t>CP-100356: chất ức chế P-glycoprotein (P-gp)</w:t>
            </w:r>
          </w:p>
          <w:p w:rsidR="0090108D" w:rsidRPr="00CC042E" w:rsidRDefault="0090108D" w:rsidP="00AD79B4">
            <w:pPr>
              <w:jc w:val="both"/>
              <w:rPr>
                <w:rFonts w:cs="Times New Roman"/>
                <w:sz w:val="28"/>
                <w:szCs w:val="28"/>
              </w:rPr>
            </w:pPr>
          </w:p>
        </w:tc>
      </w:tr>
    </w:tbl>
    <w:p w:rsidR="002425B6" w:rsidRPr="00CC042E" w:rsidRDefault="002425B6" w:rsidP="002425B6">
      <w:pPr>
        <w:pStyle w:val="ListParagraph"/>
        <w:numPr>
          <w:ilvl w:val="0"/>
          <w:numId w:val="18"/>
        </w:numPr>
        <w:jc w:val="both"/>
        <w:rPr>
          <w:rFonts w:cs="Times New Roman"/>
          <w:b/>
          <w:sz w:val="28"/>
          <w:szCs w:val="28"/>
        </w:rPr>
      </w:pPr>
      <w:r w:rsidRPr="00CC042E">
        <w:rPr>
          <w:rFonts w:cs="Times New Roman"/>
          <w:b/>
          <w:sz w:val="28"/>
          <w:szCs w:val="28"/>
        </w:rPr>
        <w:t xml:space="preserve">Kết quả </w:t>
      </w:r>
      <w:r w:rsidRPr="006948C0">
        <w:rPr>
          <w:rFonts w:cs="Times New Roman"/>
          <w:b/>
          <w:sz w:val="28"/>
          <w:szCs w:val="28"/>
        </w:rPr>
        <w:t>nghiên cứu in</w:t>
      </w:r>
      <w:r w:rsidR="00E5774D" w:rsidRPr="006948C0">
        <w:rPr>
          <w:rFonts w:cs="Times New Roman"/>
          <w:b/>
          <w:sz w:val="28"/>
          <w:szCs w:val="28"/>
        </w:rPr>
        <w:t>-</w:t>
      </w:r>
      <w:r w:rsidRPr="006948C0">
        <w:rPr>
          <w:rFonts w:cs="Times New Roman"/>
          <w:b/>
          <w:sz w:val="28"/>
          <w:szCs w:val="28"/>
        </w:rPr>
        <w:t>vivo</w:t>
      </w:r>
    </w:p>
    <w:p w:rsidR="002425B6" w:rsidRPr="00CC042E" w:rsidRDefault="00383FC7" w:rsidP="00D5209E">
      <w:pPr>
        <w:ind w:firstLine="720"/>
        <w:contextualSpacing/>
        <w:jc w:val="both"/>
        <w:rPr>
          <w:rFonts w:cs="Times New Roman"/>
          <w:sz w:val="28"/>
          <w:szCs w:val="28"/>
        </w:rPr>
      </w:pPr>
      <w:r>
        <w:rPr>
          <w:rFonts w:cs="Times New Roman"/>
          <w:sz w:val="28"/>
          <w:szCs w:val="28"/>
        </w:rPr>
        <w:t xml:space="preserve">Một </w:t>
      </w:r>
      <w:r w:rsidR="002425B6" w:rsidRPr="00CC042E">
        <w:rPr>
          <w:rFonts w:cs="Times New Roman"/>
          <w:sz w:val="28"/>
          <w:szCs w:val="28"/>
        </w:rPr>
        <w:t xml:space="preserve"> nghiên cứu </w:t>
      </w:r>
      <w:r>
        <w:rPr>
          <w:rFonts w:cs="Times New Roman"/>
          <w:sz w:val="28"/>
          <w:szCs w:val="28"/>
        </w:rPr>
        <w:t xml:space="preserve">về </w:t>
      </w:r>
      <w:r w:rsidR="002425B6" w:rsidRPr="00CC042E">
        <w:rPr>
          <w:rFonts w:cs="Times New Roman"/>
          <w:sz w:val="28"/>
          <w:szCs w:val="28"/>
        </w:rPr>
        <w:t>hiệu quả kháng virus của PF-07321332 trên Syrian hamsters nhiễm biến thể</w:t>
      </w:r>
      <w:r w:rsidR="00532459">
        <w:rPr>
          <w:rFonts w:cs="Times New Roman"/>
          <w:sz w:val="28"/>
          <w:szCs w:val="28"/>
        </w:rPr>
        <w:t xml:space="preserve"> Beta (B.1.351), s</w:t>
      </w:r>
      <w:r w:rsidR="002425B6" w:rsidRPr="00CC042E">
        <w:rPr>
          <w:rFonts w:cs="Times New Roman"/>
          <w:sz w:val="28"/>
          <w:szCs w:val="28"/>
        </w:rPr>
        <w:t>au khi bị nhiễm bệnh, chuột được điều trị bằng đường uống với PF-07321332 ở mức liều 125 hoặc 250 mg / kg / liều, hai lần mỗi ngày (BID) hoặc giả dược (tức là nhóm chứng) trong bốn ngày liên tiếp. Kết quả cho thấy điều trị bằng PF-07321332 dẫn đến giảm sao chép RNA của virus trong mô phổi phụ thuộc vào liều lượng; tức là giảm 1,0 log</w:t>
      </w:r>
      <w:r w:rsidR="002425B6" w:rsidRPr="00CC042E">
        <w:rPr>
          <w:rFonts w:cs="Times New Roman"/>
          <w:sz w:val="28"/>
          <w:szCs w:val="28"/>
          <w:vertAlign w:val="subscript"/>
        </w:rPr>
        <w:t>10</w:t>
      </w:r>
      <w:r w:rsidR="002425B6" w:rsidRPr="00CC042E">
        <w:rPr>
          <w:rFonts w:cs="Times New Roman"/>
          <w:sz w:val="28"/>
          <w:szCs w:val="28"/>
        </w:rPr>
        <w:t xml:space="preserve"> (P = 0,010) ở nhóm điều trị 125 mg / kg BID và 5,9 log</w:t>
      </w:r>
      <w:r w:rsidR="002425B6" w:rsidRPr="00CC042E">
        <w:rPr>
          <w:rFonts w:cs="Times New Roman"/>
          <w:sz w:val="28"/>
          <w:szCs w:val="28"/>
          <w:vertAlign w:val="subscript"/>
        </w:rPr>
        <w:t>10</w:t>
      </w:r>
      <w:r w:rsidR="002425B6" w:rsidRPr="00CC042E">
        <w:rPr>
          <w:rFonts w:cs="Times New Roman"/>
          <w:sz w:val="28"/>
          <w:szCs w:val="28"/>
        </w:rPr>
        <w:t xml:space="preserve"> (P = 0,002) đối với nhóm điều trị 250 mg / kg BID. Tương tự, liều 125 mg / kg BID giảm 1,1 log</w:t>
      </w:r>
      <w:r w:rsidR="002425B6" w:rsidRPr="00CC042E">
        <w:rPr>
          <w:rFonts w:cs="Times New Roman"/>
          <w:sz w:val="28"/>
          <w:szCs w:val="28"/>
          <w:vertAlign w:val="subscript"/>
        </w:rPr>
        <w:t>10</w:t>
      </w:r>
      <w:r w:rsidR="002425B6" w:rsidRPr="00CC042E">
        <w:rPr>
          <w:rFonts w:cs="Times New Roman"/>
          <w:sz w:val="28"/>
          <w:szCs w:val="28"/>
        </w:rPr>
        <w:t xml:space="preserve"> (P = 0,015) nồng độ vi rút lây nhiễm ở phổi và điều trị với 250 mg / kg BID giảm đến mức virus không thể phát hiện được trong phổi (giảm 4,8 log</w:t>
      </w:r>
      <w:r w:rsidR="002425B6" w:rsidRPr="00CC042E">
        <w:rPr>
          <w:rFonts w:cs="Times New Roman"/>
          <w:sz w:val="28"/>
          <w:szCs w:val="28"/>
          <w:vertAlign w:val="subscript"/>
        </w:rPr>
        <w:t>10</w:t>
      </w:r>
      <w:r w:rsidR="002425B6" w:rsidRPr="00CC042E">
        <w:rPr>
          <w:rFonts w:cs="Times New Roman"/>
          <w:sz w:val="28"/>
          <w:szCs w:val="28"/>
        </w:rPr>
        <w:t xml:space="preserve">, P = 0,002). </w:t>
      </w:r>
      <w:r w:rsidR="00C611B3">
        <w:rPr>
          <w:rFonts w:cs="Times New Roman"/>
          <w:sz w:val="28"/>
          <w:szCs w:val="28"/>
        </w:rPr>
        <w:t>[</w:t>
      </w:r>
      <w:r w:rsidR="00E337CE">
        <w:rPr>
          <w:rFonts w:cs="Times New Roman"/>
          <w:sz w:val="28"/>
          <w:szCs w:val="28"/>
        </w:rPr>
        <w:t>4</w:t>
      </w:r>
      <w:r w:rsidR="00C611B3">
        <w:rPr>
          <w:rFonts w:cs="Times New Roman"/>
          <w:sz w:val="28"/>
          <w:szCs w:val="28"/>
        </w:rPr>
        <w:t>]</w:t>
      </w:r>
      <w:r w:rsidR="00D5209E">
        <w:rPr>
          <w:rFonts w:cs="Times New Roman"/>
          <w:sz w:val="28"/>
          <w:szCs w:val="28"/>
        </w:rPr>
        <w:t xml:space="preserve"> </w:t>
      </w:r>
      <w:r w:rsidR="0090108D">
        <w:rPr>
          <w:rFonts w:cs="Times New Roman"/>
          <w:sz w:val="28"/>
          <w:szCs w:val="28"/>
        </w:rPr>
        <w:t xml:space="preserve">Theo nghiên cứu của </w:t>
      </w:r>
      <w:r w:rsidR="002425B6" w:rsidRPr="00CC042E">
        <w:rPr>
          <w:rFonts w:cs="Times New Roman"/>
          <w:sz w:val="28"/>
          <w:szCs w:val="28"/>
        </w:rPr>
        <w:t>Dafydd R. Owen và cộng sự</w:t>
      </w:r>
      <w:r w:rsidR="0090108D">
        <w:rPr>
          <w:rFonts w:cs="Times New Roman"/>
          <w:sz w:val="28"/>
          <w:szCs w:val="28"/>
        </w:rPr>
        <w:t xml:space="preserve"> s</w:t>
      </w:r>
      <w:r w:rsidR="002425B6" w:rsidRPr="00CC042E">
        <w:rPr>
          <w:rFonts w:cs="Times New Roman"/>
          <w:sz w:val="28"/>
          <w:szCs w:val="28"/>
        </w:rPr>
        <w:t xml:space="preserve">au 4 ngày nhiễm SARS-Cov-2 </w:t>
      </w:r>
      <w:r w:rsidR="002425B6" w:rsidRPr="00CC042E">
        <w:rPr>
          <w:rFonts w:cs="Times New Roman"/>
          <w:sz w:val="28"/>
          <w:szCs w:val="28"/>
        </w:rPr>
        <w:lastRenderedPageBreak/>
        <w:t>MA10, nồng độ virus đo được ở phổi như sau: động vật bị nhiễm bệnh trong nhóm giả dược (n = 12, hai nghiên cứu độc lập) bị nhiễm trùng nặng ở phổi (nồng độ virus trong  phổi trung bình là 4,93 ± 0,140 CCID50 log</w:t>
      </w:r>
      <w:r w:rsidR="002425B6" w:rsidRPr="00CC042E">
        <w:rPr>
          <w:rFonts w:cs="Times New Roman"/>
          <w:sz w:val="28"/>
          <w:szCs w:val="28"/>
          <w:vertAlign w:val="subscript"/>
        </w:rPr>
        <w:t>10</w:t>
      </w:r>
      <w:r w:rsidR="002425B6" w:rsidRPr="00CC042E">
        <w:rPr>
          <w:rFonts w:cs="Times New Roman"/>
          <w:sz w:val="28"/>
          <w:szCs w:val="28"/>
        </w:rPr>
        <w:t xml:space="preserve"> /</w:t>
      </w:r>
      <w:r w:rsidR="00D5209E">
        <w:rPr>
          <w:rFonts w:cs="Times New Roman"/>
          <w:sz w:val="28"/>
          <w:szCs w:val="28"/>
        </w:rPr>
        <w:t xml:space="preserve"> ml SARS-CoV-2 MA10) trong khi nồng</w:t>
      </w:r>
      <w:r w:rsidR="002425B6" w:rsidRPr="00CC042E">
        <w:rPr>
          <w:rFonts w:cs="Times New Roman"/>
          <w:sz w:val="28"/>
          <w:szCs w:val="28"/>
        </w:rPr>
        <w:t xml:space="preserve"> độ</w:t>
      </w:r>
      <w:r w:rsidR="00D5209E">
        <w:rPr>
          <w:rFonts w:cs="Times New Roman"/>
          <w:sz w:val="28"/>
          <w:szCs w:val="28"/>
        </w:rPr>
        <w:t xml:space="preserve"> virus</w:t>
      </w:r>
      <w:r w:rsidR="002425B6" w:rsidRPr="00CC042E">
        <w:rPr>
          <w:rFonts w:cs="Times New Roman"/>
          <w:sz w:val="28"/>
          <w:szCs w:val="28"/>
        </w:rPr>
        <w:t xml:space="preserve"> ở chuột được điều trị bằng PF-07321332 đã giảm đáng kể (nồng độ virus trong  phổi trung bình lần lượt là 3,533 ± 0,187 CCID50 log</w:t>
      </w:r>
      <w:r w:rsidR="002425B6" w:rsidRPr="00CC042E">
        <w:rPr>
          <w:rFonts w:cs="Times New Roman"/>
          <w:sz w:val="28"/>
          <w:szCs w:val="28"/>
          <w:vertAlign w:val="subscript"/>
        </w:rPr>
        <w:t>10</w:t>
      </w:r>
      <w:r w:rsidR="002425B6" w:rsidRPr="00CC042E">
        <w:rPr>
          <w:rFonts w:cs="Times New Roman"/>
          <w:sz w:val="28"/>
          <w:szCs w:val="28"/>
        </w:rPr>
        <w:t xml:space="preserve"> / ml ở nhóm điều trị PF-07321332 300 mg /kg BID và 3,02 ± 0,423 CCID50 log</w:t>
      </w:r>
      <w:r w:rsidR="002425B6" w:rsidRPr="00CC042E">
        <w:rPr>
          <w:rFonts w:cs="Times New Roman"/>
          <w:sz w:val="28"/>
          <w:szCs w:val="28"/>
          <w:vertAlign w:val="subscript"/>
        </w:rPr>
        <w:t>10</w:t>
      </w:r>
      <w:r w:rsidR="002425B6" w:rsidRPr="00CC042E">
        <w:rPr>
          <w:rFonts w:cs="Times New Roman"/>
          <w:sz w:val="28"/>
          <w:szCs w:val="28"/>
        </w:rPr>
        <w:t xml:space="preserve"> / ml đối với nhóm điều trị PF-07321332 1000 mg /kg BID.</w:t>
      </w:r>
      <w:r w:rsidR="00C611B3">
        <w:rPr>
          <w:rFonts w:cs="Times New Roman"/>
          <w:sz w:val="28"/>
          <w:szCs w:val="28"/>
        </w:rPr>
        <w:t xml:space="preserve"> [</w:t>
      </w:r>
      <w:r w:rsidR="00E337CE">
        <w:rPr>
          <w:rFonts w:cs="Times New Roman"/>
          <w:sz w:val="28"/>
          <w:szCs w:val="28"/>
        </w:rPr>
        <w:t>30</w:t>
      </w:r>
      <w:r w:rsidR="00C611B3">
        <w:rPr>
          <w:rFonts w:cs="Times New Roman"/>
          <w:sz w:val="28"/>
          <w:szCs w:val="28"/>
        </w:rPr>
        <w:t>]</w:t>
      </w:r>
    </w:p>
    <w:p w:rsidR="002425B6" w:rsidRPr="00CC042E" w:rsidRDefault="002425B6" w:rsidP="00820A72">
      <w:pPr>
        <w:ind w:firstLine="720"/>
        <w:contextualSpacing/>
        <w:jc w:val="both"/>
        <w:rPr>
          <w:rFonts w:cs="Times New Roman"/>
          <w:sz w:val="28"/>
          <w:szCs w:val="28"/>
        </w:rPr>
      </w:pPr>
      <w:r w:rsidRPr="00CC042E">
        <w:rPr>
          <w:rFonts w:cs="Times New Roman"/>
          <w:sz w:val="28"/>
          <w:szCs w:val="28"/>
        </w:rPr>
        <w:t xml:space="preserve">Dafydd R. Owen và cộng sự tiến hành </w:t>
      </w:r>
      <w:bookmarkStart w:id="0" w:name="_GoBack"/>
      <w:bookmarkEnd w:id="0"/>
      <w:r w:rsidRPr="006948C0">
        <w:rPr>
          <w:rFonts w:cs="Times New Roman"/>
          <w:sz w:val="28"/>
          <w:szCs w:val="28"/>
        </w:rPr>
        <w:t>nhiên cứu in</w:t>
      </w:r>
      <w:r w:rsidR="00E5774D" w:rsidRPr="006948C0">
        <w:rPr>
          <w:rFonts w:cs="Times New Roman"/>
          <w:sz w:val="28"/>
          <w:szCs w:val="28"/>
        </w:rPr>
        <w:t>-</w:t>
      </w:r>
      <w:r w:rsidRPr="006948C0">
        <w:rPr>
          <w:rFonts w:cs="Times New Roman"/>
          <w:sz w:val="28"/>
          <w:szCs w:val="28"/>
        </w:rPr>
        <w:t>vivo trên</w:t>
      </w:r>
      <w:r w:rsidRPr="00CC042E">
        <w:rPr>
          <w:rFonts w:cs="Times New Roman"/>
          <w:sz w:val="28"/>
          <w:szCs w:val="28"/>
        </w:rPr>
        <w:t xml:space="preserve"> mô hình chuột bị nhiễm SARS-Cov-2 MA10, sau khi uống PF-07321332 </w:t>
      </w:r>
      <w:r w:rsidR="00D44784">
        <w:rPr>
          <w:rFonts w:cs="Times New Roman"/>
          <w:sz w:val="28"/>
          <w:szCs w:val="28"/>
        </w:rPr>
        <w:t xml:space="preserve">các liều </w:t>
      </w:r>
      <w:r w:rsidRPr="00CC042E">
        <w:rPr>
          <w:rFonts w:cs="Times New Roman"/>
          <w:sz w:val="28"/>
          <w:szCs w:val="28"/>
        </w:rPr>
        <w:t xml:space="preserve">300 mg /kg và 1000 mg /kg hai lần mỗi ngày (BID), những con chuột bị nhiễm SARS-CoV-2 MA10 cho thấy cân nặng không bị giảm so với những con chuột dùng giả dược. </w:t>
      </w:r>
      <w:r w:rsidR="00C611B3">
        <w:rPr>
          <w:rFonts w:cs="Times New Roman"/>
          <w:sz w:val="28"/>
          <w:szCs w:val="28"/>
        </w:rPr>
        <w:t>[</w:t>
      </w:r>
      <w:r w:rsidR="00E337CE">
        <w:rPr>
          <w:rFonts w:cs="Times New Roman"/>
          <w:sz w:val="28"/>
          <w:szCs w:val="28"/>
        </w:rPr>
        <w:t>30</w:t>
      </w:r>
      <w:r w:rsidR="00C611B3">
        <w:rPr>
          <w:rFonts w:cs="Times New Roman"/>
          <w:sz w:val="28"/>
          <w:szCs w:val="28"/>
        </w:rPr>
        <w:t>]</w:t>
      </w:r>
      <w:r w:rsidR="00D44784" w:rsidRPr="00D44784">
        <w:rPr>
          <w:rFonts w:cs="Times New Roman"/>
          <w:sz w:val="28"/>
          <w:szCs w:val="28"/>
        </w:rPr>
        <w:t xml:space="preserve"> </w:t>
      </w:r>
      <w:r w:rsidR="00D44784">
        <w:rPr>
          <w:rFonts w:cs="Times New Roman"/>
          <w:sz w:val="28"/>
          <w:szCs w:val="28"/>
        </w:rPr>
        <w:t>Nghiên cứu khác cũng cho thấy</w:t>
      </w:r>
      <w:r w:rsidR="00D44784" w:rsidRPr="00CC042E">
        <w:rPr>
          <w:rFonts w:cs="Times New Roman"/>
          <w:sz w:val="28"/>
          <w:szCs w:val="28"/>
        </w:rPr>
        <w:t xml:space="preserve"> chuột được điều trị PF-07321332 với liều 125 mg / kg BID tăng cân trong thời gian thử nghiệm trong khi nhóm giả dược giảm cân. </w:t>
      </w:r>
      <w:r w:rsidR="00D44784">
        <w:rPr>
          <w:rFonts w:cs="Times New Roman"/>
          <w:sz w:val="28"/>
          <w:szCs w:val="28"/>
        </w:rPr>
        <w:t>[4]</w:t>
      </w:r>
    </w:p>
    <w:p w:rsidR="002425B6" w:rsidRPr="00CC042E" w:rsidRDefault="002425B6" w:rsidP="00820A72">
      <w:pPr>
        <w:ind w:firstLine="720"/>
        <w:contextualSpacing/>
        <w:jc w:val="both"/>
        <w:rPr>
          <w:rFonts w:cs="Times New Roman"/>
          <w:sz w:val="28"/>
          <w:szCs w:val="28"/>
        </w:rPr>
      </w:pPr>
      <w:r w:rsidRPr="00CC042E">
        <w:rPr>
          <w:rFonts w:cs="Times New Roman"/>
          <w:sz w:val="28"/>
          <w:szCs w:val="28"/>
        </w:rPr>
        <w:t>Điều trị bằng PF-07321332 cũng cải thiện rõ rệt bệnh lý phổi do vi rút gây ra, đặc biệt ở liều 250 mg / kg BID, theo đó mức độ bệnh phổi (ở 5 trong số 6 động vật) tương đương với mức độ cơ bản của chuột không được điều trị, không bị nhiễm bệnh.</w:t>
      </w:r>
      <w:r w:rsidR="00C611B3">
        <w:rPr>
          <w:rFonts w:cs="Times New Roman"/>
          <w:sz w:val="28"/>
          <w:szCs w:val="28"/>
        </w:rPr>
        <w:t>[</w:t>
      </w:r>
      <w:r w:rsidR="00E337CE">
        <w:rPr>
          <w:rFonts w:cs="Times New Roman"/>
          <w:sz w:val="28"/>
          <w:szCs w:val="28"/>
        </w:rPr>
        <w:t>4</w:t>
      </w:r>
      <w:r w:rsidR="00C611B3">
        <w:rPr>
          <w:rFonts w:cs="Times New Roman"/>
          <w:sz w:val="28"/>
          <w:szCs w:val="28"/>
        </w:rPr>
        <w:t>]</w:t>
      </w:r>
      <w:r w:rsidR="00D44784">
        <w:rPr>
          <w:rFonts w:cs="Times New Roman"/>
          <w:sz w:val="28"/>
          <w:szCs w:val="28"/>
        </w:rPr>
        <w:t xml:space="preserve"> Trong một nghiên cứu khác p</w:t>
      </w:r>
      <w:r w:rsidRPr="00CC042E">
        <w:rPr>
          <w:rFonts w:cs="Times New Roman"/>
          <w:sz w:val="28"/>
          <w:szCs w:val="28"/>
        </w:rPr>
        <w:t>hân tích mô bệnh học phổi từ những con chuột được điều trị cho thấy PF- 07321332 bảo vệ mô phổi khỏi bị hư hại do sự nhân lên củ</w:t>
      </w:r>
      <w:r w:rsidR="00D44784">
        <w:rPr>
          <w:rFonts w:cs="Times New Roman"/>
          <w:sz w:val="28"/>
          <w:szCs w:val="28"/>
        </w:rPr>
        <w:t>a virú</w:t>
      </w:r>
      <w:r w:rsidRPr="00CC042E">
        <w:rPr>
          <w:rFonts w:cs="Times New Roman"/>
          <w:sz w:val="28"/>
          <w:szCs w:val="28"/>
        </w:rPr>
        <w:t xml:space="preserve"> và hạn chế sự xâm nhập của tế bào. Đánh giá mô bệnh học phổi từ những con chuột dùng giả dược cho thấy bằng chứng về tăng viêm quanh mạch, thoái hóa hoặc hoại tử biểu mô phế quản hoặc tiểu phế quản, viêm phế quản hoặc tiểu phế quản, mảnh vụn tế bào trong lòng phế nang, viêm phế nang và dày vách ngăn phế nang so với PF-07321332 được điều trị chuột</w:t>
      </w:r>
      <w:r w:rsidR="00D44784">
        <w:rPr>
          <w:rFonts w:cs="Times New Roman"/>
          <w:sz w:val="28"/>
          <w:szCs w:val="28"/>
        </w:rPr>
        <w:t xml:space="preserve"> bị nhiễm bệnh</w:t>
      </w:r>
      <w:r w:rsidRPr="00CC042E">
        <w:rPr>
          <w:rFonts w:cs="Times New Roman"/>
          <w:sz w:val="28"/>
          <w:szCs w:val="28"/>
        </w:rPr>
        <w:t xml:space="preserve"> và chuộ</w:t>
      </w:r>
      <w:r w:rsidR="00D44784">
        <w:rPr>
          <w:rFonts w:cs="Times New Roman"/>
          <w:sz w:val="28"/>
          <w:szCs w:val="28"/>
        </w:rPr>
        <w:t>t không bị nhiễm bệnh</w:t>
      </w:r>
      <w:r w:rsidRPr="00CC042E">
        <w:rPr>
          <w:rFonts w:cs="Times New Roman"/>
          <w:sz w:val="28"/>
          <w:szCs w:val="28"/>
        </w:rPr>
        <w:t xml:space="preserve">. Hầu hết những con chuột bị nhiễm bệnh đều có biểu hiện tổn thương phổi đa </w:t>
      </w:r>
      <w:r w:rsidR="00D44784">
        <w:rPr>
          <w:rFonts w:cs="Times New Roman"/>
          <w:sz w:val="28"/>
          <w:szCs w:val="28"/>
        </w:rPr>
        <w:t>cơ quan</w:t>
      </w:r>
      <w:r w:rsidRPr="00CC042E">
        <w:rPr>
          <w:rFonts w:cs="Times New Roman"/>
          <w:sz w:val="28"/>
          <w:szCs w:val="28"/>
        </w:rPr>
        <w:t>, giảm đáng kể ở những con chuột được điều trị bằng PF-07321332.</w:t>
      </w:r>
      <w:r w:rsidR="00C611B3">
        <w:rPr>
          <w:rFonts w:cs="Times New Roman"/>
          <w:sz w:val="28"/>
          <w:szCs w:val="28"/>
        </w:rPr>
        <w:t>[</w:t>
      </w:r>
      <w:r w:rsidR="00E337CE">
        <w:rPr>
          <w:rFonts w:cs="Times New Roman"/>
          <w:sz w:val="28"/>
          <w:szCs w:val="28"/>
        </w:rPr>
        <w:t>30</w:t>
      </w:r>
      <w:r w:rsidR="00C611B3">
        <w:rPr>
          <w:rFonts w:cs="Times New Roman"/>
          <w:sz w:val="28"/>
          <w:szCs w:val="28"/>
        </w:rPr>
        <w:t>]</w:t>
      </w:r>
    </w:p>
    <w:p w:rsidR="002425B6" w:rsidRPr="00CC042E" w:rsidRDefault="002425B6" w:rsidP="00820A72">
      <w:pPr>
        <w:ind w:firstLine="720"/>
        <w:contextualSpacing/>
        <w:jc w:val="both"/>
        <w:rPr>
          <w:rFonts w:cs="Times New Roman"/>
          <w:sz w:val="28"/>
          <w:szCs w:val="28"/>
        </w:rPr>
      </w:pPr>
      <w:r w:rsidRPr="00CC042E">
        <w:rPr>
          <w:rFonts w:cs="Times New Roman"/>
          <w:sz w:val="28"/>
          <w:szCs w:val="28"/>
        </w:rPr>
        <w:t>Trên nghiên cứu được thực hiện trên chuột bị lây nhiễm biến thể</w:t>
      </w:r>
      <w:r w:rsidR="00D44784">
        <w:rPr>
          <w:rFonts w:cs="Times New Roman"/>
          <w:sz w:val="28"/>
          <w:szCs w:val="28"/>
        </w:rPr>
        <w:t xml:space="preserve"> Delta (B.1.617.2), </w:t>
      </w:r>
      <w:r w:rsidRPr="00CC042E">
        <w:rPr>
          <w:rFonts w:cs="Times New Roman"/>
          <w:sz w:val="28"/>
          <w:szCs w:val="28"/>
        </w:rPr>
        <w:t>việc điều trị bằng PF-07321332 làm giảm 2,5 log</w:t>
      </w:r>
      <w:r w:rsidRPr="00CC042E">
        <w:rPr>
          <w:rFonts w:cs="Times New Roman"/>
          <w:sz w:val="28"/>
          <w:szCs w:val="28"/>
          <w:vertAlign w:val="subscript"/>
        </w:rPr>
        <w:t>10</w:t>
      </w:r>
      <w:r w:rsidRPr="00CC042E">
        <w:rPr>
          <w:rFonts w:cs="Times New Roman"/>
          <w:sz w:val="28"/>
          <w:szCs w:val="28"/>
        </w:rPr>
        <w:t xml:space="preserve"> (P = 0,0022) nồng độ RNA của virus trong phổi và giảm 4,2 log</w:t>
      </w:r>
      <w:r w:rsidRPr="00CC042E">
        <w:rPr>
          <w:rFonts w:cs="Times New Roman"/>
          <w:sz w:val="28"/>
          <w:szCs w:val="28"/>
          <w:vertAlign w:val="subscript"/>
        </w:rPr>
        <w:t>10</w:t>
      </w:r>
      <w:r w:rsidRPr="00CC042E">
        <w:rPr>
          <w:rFonts w:cs="Times New Roman"/>
          <w:sz w:val="28"/>
          <w:szCs w:val="28"/>
        </w:rPr>
        <w:t xml:space="preserve"> nồng độ virus lây nhiễm (P = 0,0022), tức là mức không thể phát hiện được. Trong khi đó tất cả con chuột không bị bệnh được nuôi chung với chuột hamster bị bệnh được điều trị bằng giả dược đều có RNA virus có thể phát hiện được và lượng virus lây nhiễm trong phổi từ 2 × 10</w:t>
      </w:r>
      <w:r w:rsidRPr="00CC042E">
        <w:rPr>
          <w:rFonts w:cs="Times New Roman"/>
          <w:sz w:val="28"/>
          <w:szCs w:val="28"/>
          <w:vertAlign w:val="superscript"/>
        </w:rPr>
        <w:t>2</w:t>
      </w:r>
      <w:r w:rsidRPr="00CC042E">
        <w:rPr>
          <w:rFonts w:cs="Times New Roman"/>
          <w:sz w:val="28"/>
          <w:szCs w:val="28"/>
        </w:rPr>
        <w:t xml:space="preserve"> đến 6 × 10</w:t>
      </w:r>
      <w:r w:rsidRPr="00CC042E">
        <w:rPr>
          <w:rFonts w:cs="Times New Roman"/>
          <w:sz w:val="28"/>
          <w:szCs w:val="28"/>
          <w:vertAlign w:val="superscript"/>
        </w:rPr>
        <w:t>4</w:t>
      </w:r>
      <w:r w:rsidRPr="00CC042E">
        <w:rPr>
          <w:rFonts w:cs="Times New Roman"/>
          <w:sz w:val="28"/>
          <w:szCs w:val="28"/>
        </w:rPr>
        <w:t xml:space="preserve"> TCID50 / mg mô phổi. Và không có chuột không bị bệnh nào được nuôi chung với chuột hamster bị bệnh được trị bằng PF-322 có vi rút lây nhiễm có thể phát hiện được trong phổi (P = 0,0022 so với tiếp xúc của nhóm được điều trị bằng giả dượ</w:t>
      </w:r>
      <w:r w:rsidR="00E4099E">
        <w:rPr>
          <w:rFonts w:cs="Times New Roman"/>
          <w:sz w:val="28"/>
          <w:szCs w:val="28"/>
        </w:rPr>
        <w:t>c).</w:t>
      </w:r>
      <w:r w:rsidRPr="00CC042E">
        <w:rPr>
          <w:rFonts w:cs="Times New Roman"/>
          <w:sz w:val="28"/>
          <w:szCs w:val="28"/>
        </w:rPr>
        <w:t>[</w:t>
      </w:r>
      <w:r w:rsidR="00E337CE">
        <w:rPr>
          <w:rFonts w:cs="Times New Roman"/>
          <w:sz w:val="28"/>
          <w:szCs w:val="28"/>
        </w:rPr>
        <w:t>4</w:t>
      </w:r>
      <w:r w:rsidRPr="00CC042E">
        <w:rPr>
          <w:rFonts w:cs="Times New Roman"/>
          <w:sz w:val="28"/>
          <w:szCs w:val="28"/>
        </w:rPr>
        <w:t xml:space="preserve">] Điều này cho thấy điều trị bằng PF-07321332 với chuột bị nhiễm SARS-CoV-2 (biết thể delta) đã ngăn chặn hoàn toàn việc lây truyền sang những con chuột khác. </w:t>
      </w:r>
    </w:p>
    <w:p w:rsidR="002425B6" w:rsidRPr="00CC042E" w:rsidRDefault="002425B6" w:rsidP="002425B6">
      <w:pPr>
        <w:pStyle w:val="ListParagraph"/>
        <w:numPr>
          <w:ilvl w:val="0"/>
          <w:numId w:val="18"/>
        </w:numPr>
        <w:jc w:val="both"/>
        <w:rPr>
          <w:rFonts w:cs="Times New Roman"/>
          <w:b/>
          <w:sz w:val="28"/>
          <w:szCs w:val="28"/>
        </w:rPr>
      </w:pPr>
      <w:r w:rsidRPr="00CC042E">
        <w:rPr>
          <w:rFonts w:cs="Times New Roman"/>
          <w:b/>
          <w:sz w:val="28"/>
          <w:szCs w:val="28"/>
        </w:rPr>
        <w:lastRenderedPageBreak/>
        <w:t>Kết quả từ các thử nghiệm lâm sàng</w:t>
      </w:r>
    </w:p>
    <w:p w:rsidR="00381E74" w:rsidRPr="00CC042E" w:rsidRDefault="002425B6" w:rsidP="002425B6">
      <w:pPr>
        <w:pStyle w:val="ListParagraph"/>
        <w:numPr>
          <w:ilvl w:val="1"/>
          <w:numId w:val="18"/>
        </w:numPr>
        <w:jc w:val="both"/>
        <w:rPr>
          <w:rFonts w:cs="Times New Roman"/>
          <w:b/>
          <w:sz w:val="28"/>
          <w:szCs w:val="28"/>
        </w:rPr>
      </w:pPr>
      <w:r w:rsidRPr="00CC042E">
        <w:rPr>
          <w:rFonts w:cs="Times New Roman"/>
          <w:b/>
          <w:sz w:val="28"/>
          <w:szCs w:val="28"/>
        </w:rPr>
        <w:t>Giai đoạn 1:</w:t>
      </w:r>
    </w:p>
    <w:p w:rsidR="002425B6" w:rsidRPr="00CC042E" w:rsidRDefault="002425B6" w:rsidP="00E337CE">
      <w:pPr>
        <w:ind w:firstLine="720"/>
        <w:jc w:val="both"/>
        <w:rPr>
          <w:rFonts w:cs="Times New Roman"/>
          <w:sz w:val="28"/>
          <w:szCs w:val="28"/>
        </w:rPr>
      </w:pPr>
      <w:r w:rsidRPr="00CC042E">
        <w:rPr>
          <w:rFonts w:cs="Times New Roman"/>
          <w:sz w:val="28"/>
          <w:szCs w:val="28"/>
        </w:rPr>
        <w:t>Thử nghiệm giai đoạn 1, ngẫu nhiên, mù đôi, có đối chứng, đơn liều và đa liều nhằm đánh giá độ an toàn, khả năng dung nạp và dược động học của PF-07321332 trên người tình nguyện khỏe mạnh (</w:t>
      </w:r>
      <w:hyperlink r:id="rId12" w:tooltip="Current version of study NCT04756531 on ClinicalTrials.gov" w:history="1">
        <w:r w:rsidRPr="00CC042E">
          <w:rPr>
            <w:rStyle w:val="Hyperlink"/>
            <w:rFonts w:cs="Times New Roman"/>
            <w:color w:val="auto"/>
            <w:sz w:val="28"/>
            <w:szCs w:val="28"/>
            <w:u w:val="none"/>
          </w:rPr>
          <w:t>NCT04756531</w:t>
        </w:r>
      </w:hyperlink>
      <w:r w:rsidRPr="00CC042E">
        <w:rPr>
          <w:rFonts w:cs="Times New Roman"/>
          <w:sz w:val="28"/>
          <w:szCs w:val="28"/>
        </w:rPr>
        <w:t>). Thử nghiệm giai đoạ</w:t>
      </w:r>
      <w:r w:rsidR="00D44784">
        <w:rPr>
          <w:rFonts w:cs="Times New Roman"/>
          <w:sz w:val="28"/>
          <w:szCs w:val="28"/>
        </w:rPr>
        <w:t>n 1 này</w:t>
      </w:r>
      <w:r w:rsidRPr="00CC042E">
        <w:rPr>
          <w:rFonts w:cs="Times New Roman"/>
          <w:sz w:val="28"/>
          <w:szCs w:val="28"/>
        </w:rPr>
        <w:t xml:space="preserve"> được tiến hành tại Hoa Kỳ. Nghiên cứu được tiến hành với 70 người tình nguyện khỏe mạnh gồm 5 phần: phần 1: </w:t>
      </w:r>
      <w:r w:rsidR="00D44784">
        <w:rPr>
          <w:rFonts w:cs="Times New Roman"/>
          <w:sz w:val="28"/>
          <w:szCs w:val="28"/>
        </w:rPr>
        <w:t>đơn liều</w:t>
      </w:r>
      <w:r w:rsidRPr="00CC042E">
        <w:rPr>
          <w:rFonts w:cs="Times New Roman"/>
          <w:sz w:val="28"/>
          <w:szCs w:val="28"/>
        </w:rPr>
        <w:t>, phầ</w:t>
      </w:r>
      <w:r w:rsidR="008800DC" w:rsidRPr="00CC042E">
        <w:rPr>
          <w:rFonts w:cs="Times New Roman"/>
          <w:sz w:val="28"/>
          <w:szCs w:val="28"/>
        </w:rPr>
        <w:t xml:space="preserve">n </w:t>
      </w:r>
      <w:r w:rsidRPr="00CC042E">
        <w:rPr>
          <w:rFonts w:cs="Times New Roman"/>
          <w:sz w:val="28"/>
          <w:szCs w:val="28"/>
        </w:rPr>
        <w:t xml:space="preserve">2: </w:t>
      </w:r>
      <w:r w:rsidR="00D44784">
        <w:rPr>
          <w:rFonts w:cs="Times New Roman"/>
          <w:sz w:val="28"/>
          <w:szCs w:val="28"/>
        </w:rPr>
        <w:t>đa liều</w:t>
      </w:r>
      <w:r w:rsidRPr="00CC042E">
        <w:rPr>
          <w:rFonts w:cs="Times New Roman"/>
          <w:sz w:val="28"/>
          <w:szCs w:val="28"/>
        </w:rPr>
        <w:t xml:space="preserve"> tăng dần, phầ</w:t>
      </w:r>
      <w:r w:rsidR="008800DC" w:rsidRPr="00CC042E">
        <w:rPr>
          <w:rFonts w:cs="Times New Roman"/>
          <w:sz w:val="28"/>
          <w:szCs w:val="28"/>
        </w:rPr>
        <w:t xml:space="preserve">n </w:t>
      </w:r>
      <w:r w:rsidRPr="00CC042E">
        <w:rPr>
          <w:rFonts w:cs="Times New Roman"/>
          <w:sz w:val="28"/>
          <w:szCs w:val="28"/>
        </w:rPr>
        <w:t>3: sinh khả dụng tương đối và ảnh hưởng của thức ăn, phầ</w:t>
      </w:r>
      <w:r w:rsidR="008800DC" w:rsidRPr="00CC042E">
        <w:rPr>
          <w:rFonts w:cs="Times New Roman"/>
          <w:sz w:val="28"/>
          <w:szCs w:val="28"/>
        </w:rPr>
        <w:t xml:space="preserve">n </w:t>
      </w:r>
      <w:r w:rsidR="00D44784">
        <w:rPr>
          <w:rFonts w:cs="Times New Roman"/>
          <w:sz w:val="28"/>
          <w:szCs w:val="28"/>
        </w:rPr>
        <w:t>4: c</w:t>
      </w:r>
      <w:r w:rsidRPr="00CC042E">
        <w:rPr>
          <w:rFonts w:cs="Times New Roman"/>
          <w:sz w:val="28"/>
          <w:szCs w:val="28"/>
        </w:rPr>
        <w:t>huyển hóa và bài tiết, phầ</w:t>
      </w:r>
      <w:r w:rsidR="008800DC" w:rsidRPr="00CC042E">
        <w:rPr>
          <w:rFonts w:cs="Times New Roman"/>
          <w:sz w:val="28"/>
          <w:szCs w:val="28"/>
        </w:rPr>
        <w:t xml:space="preserve">n </w:t>
      </w:r>
      <w:r w:rsidRPr="00CC042E">
        <w:rPr>
          <w:rFonts w:cs="Times New Roman"/>
          <w:sz w:val="28"/>
          <w:szCs w:val="28"/>
        </w:rPr>
        <w:t>5: thử nghiệm liều cao. Phầ</w:t>
      </w:r>
      <w:r w:rsidR="008800DC" w:rsidRPr="00CC042E">
        <w:rPr>
          <w:rFonts w:cs="Times New Roman"/>
          <w:sz w:val="28"/>
          <w:szCs w:val="28"/>
        </w:rPr>
        <w:t xml:space="preserve">n </w:t>
      </w:r>
      <w:r w:rsidRPr="00CC042E">
        <w:rPr>
          <w:rFonts w:cs="Times New Roman"/>
          <w:sz w:val="28"/>
          <w:szCs w:val="28"/>
        </w:rPr>
        <w:t xml:space="preserve">1,2 và 5 là nghiên cứu mù đôi; Phần 3 và 4 là nghiên cứu mở. Kết quả </w:t>
      </w:r>
      <w:r w:rsidR="00912E73">
        <w:rPr>
          <w:rFonts w:cs="Times New Roman"/>
          <w:sz w:val="28"/>
          <w:szCs w:val="28"/>
        </w:rPr>
        <w:t>d</w:t>
      </w:r>
      <w:r w:rsidR="00D23161" w:rsidRPr="00CC042E">
        <w:rPr>
          <w:rFonts w:cs="Times New Roman"/>
          <w:sz w:val="28"/>
          <w:szCs w:val="28"/>
        </w:rPr>
        <w:t xml:space="preserve">ữ liệu công bố tạm thời </w:t>
      </w:r>
      <w:r w:rsidRPr="00CC042E">
        <w:rPr>
          <w:rFonts w:cs="Times New Roman"/>
          <w:sz w:val="28"/>
          <w:szCs w:val="28"/>
        </w:rPr>
        <w:t>cho thấy PF-07321332 an toàn và dung nạp tốt.</w:t>
      </w:r>
      <w:r w:rsidR="00C611B3">
        <w:rPr>
          <w:rFonts w:cs="Times New Roman"/>
          <w:sz w:val="28"/>
          <w:szCs w:val="28"/>
        </w:rPr>
        <w:t>[</w:t>
      </w:r>
      <w:r w:rsidR="00BC03AA">
        <w:rPr>
          <w:rFonts w:cs="Times New Roman"/>
          <w:sz w:val="28"/>
          <w:szCs w:val="28"/>
        </w:rPr>
        <w:t>14</w:t>
      </w:r>
      <w:r w:rsidR="00C611B3">
        <w:rPr>
          <w:rFonts w:cs="Times New Roman"/>
          <w:sz w:val="28"/>
          <w:szCs w:val="28"/>
        </w:rPr>
        <w:t>]</w:t>
      </w:r>
      <w:r w:rsidR="000A516B">
        <w:rPr>
          <w:rFonts w:cs="Times New Roman"/>
          <w:sz w:val="28"/>
          <w:szCs w:val="28"/>
        </w:rPr>
        <w:t>[</w:t>
      </w:r>
      <w:r w:rsidR="00BC03AA">
        <w:rPr>
          <w:rFonts w:cs="Times New Roman"/>
          <w:sz w:val="28"/>
          <w:szCs w:val="28"/>
        </w:rPr>
        <w:t>25</w:t>
      </w:r>
      <w:r w:rsidR="000A516B">
        <w:rPr>
          <w:rFonts w:cs="Times New Roman"/>
          <w:sz w:val="28"/>
          <w:szCs w:val="28"/>
        </w:rPr>
        <w:t>]</w:t>
      </w:r>
    </w:p>
    <w:p w:rsidR="002425B6" w:rsidRPr="00CC042E" w:rsidRDefault="002425B6" w:rsidP="002425B6">
      <w:pPr>
        <w:pStyle w:val="ListParagraph"/>
        <w:numPr>
          <w:ilvl w:val="1"/>
          <w:numId w:val="18"/>
        </w:numPr>
        <w:jc w:val="both"/>
        <w:rPr>
          <w:rFonts w:cs="Times New Roman"/>
          <w:b/>
          <w:sz w:val="28"/>
          <w:szCs w:val="28"/>
        </w:rPr>
      </w:pPr>
      <w:r w:rsidRPr="00CC042E">
        <w:rPr>
          <w:rFonts w:cs="Times New Roman"/>
          <w:b/>
          <w:sz w:val="28"/>
          <w:szCs w:val="28"/>
        </w:rPr>
        <w:t>Giai đoạn 2/3:</w:t>
      </w:r>
    </w:p>
    <w:p w:rsidR="00D23161" w:rsidRPr="00CC042E" w:rsidRDefault="00D23161" w:rsidP="00D44784">
      <w:pPr>
        <w:ind w:firstLine="720"/>
        <w:contextualSpacing/>
        <w:jc w:val="both"/>
        <w:rPr>
          <w:rFonts w:cs="Times New Roman"/>
          <w:sz w:val="28"/>
          <w:szCs w:val="28"/>
        </w:rPr>
      </w:pPr>
      <w:r w:rsidRPr="00CC042E">
        <w:rPr>
          <w:rFonts w:cs="Times New Roman"/>
          <w:sz w:val="28"/>
          <w:szCs w:val="28"/>
        </w:rPr>
        <w:t xml:space="preserve">Giai đoạn 2/3 nghiên cứu EPIC-HR (Evaluation of Protease Inhibition for COVID-19 in High-Risk Patients), ngẫu nhiên, mù đôi trên bệnh nhân trưởng thành nhiễm COVID-19 không nhập viện, có nguy cơ trở bệnh nặng cao. Tỷ lệ đăng ký tham gia là 70% trong số 3.000 bệnh nhân dự kiến </w:t>
      </w:r>
      <w:r w:rsidRPr="00CC042E">
        <w:rPr>
          <w:rFonts w:ascii="Cambria Math" w:hAnsi="Cambria Math" w:cs="Cambria Math"/>
          <w:sz w:val="28"/>
          <w:szCs w:val="28"/>
        </w:rPr>
        <w:t>​​</w:t>
      </w:r>
      <w:r w:rsidRPr="00CC042E">
        <w:rPr>
          <w:rFonts w:cs="Times New Roman"/>
          <w:sz w:val="28"/>
          <w:szCs w:val="28"/>
        </w:rPr>
        <w:t>từ các điểm thử nghiệm lâm sàng trên toàn miền Bắc và Nam Mỹ, Châu Âu, Châu Phi và Châu Á, với 45% bệnh nhân sống ở Hoa Kỳ. Những người tham gia đã được xác nhận chẩn đoán nhiễm SARS-CoV-2 trong vòng năm ngày với các triệu chứng nhẹ đến trung bình và được yêu cầu có ít nhất một đặc điểm hoặc tình trạng bệnh cơ bản liên quan đến tăng nguy cơ phát triển bệnh nặng do COVID -19. Mỗi bệnh nhân được chọn ngẫu nhiên (1:1) được uống PF-07321332/ritonavir hoặc giả dược bằng đường uống cứ 12 giờ một lần trong năm ngày (tổng cộng 10 liều).</w:t>
      </w:r>
      <w:r w:rsidR="00C611B3">
        <w:rPr>
          <w:rFonts w:cs="Times New Roman"/>
          <w:sz w:val="28"/>
          <w:szCs w:val="28"/>
        </w:rPr>
        <w:t>[</w:t>
      </w:r>
      <w:r w:rsidR="00E337CE">
        <w:rPr>
          <w:rFonts w:cs="Times New Roman"/>
          <w:sz w:val="28"/>
          <w:szCs w:val="28"/>
        </w:rPr>
        <w:t>8</w:t>
      </w:r>
      <w:r w:rsidR="00C611B3">
        <w:rPr>
          <w:rFonts w:cs="Times New Roman"/>
          <w:sz w:val="28"/>
          <w:szCs w:val="28"/>
        </w:rPr>
        <w:t>][</w:t>
      </w:r>
      <w:r w:rsidR="00E337CE">
        <w:rPr>
          <w:rFonts w:cs="Times New Roman"/>
          <w:sz w:val="28"/>
          <w:szCs w:val="28"/>
        </w:rPr>
        <w:t>26</w:t>
      </w:r>
      <w:r w:rsidR="00C611B3">
        <w:rPr>
          <w:rFonts w:cs="Times New Roman"/>
          <w:sz w:val="28"/>
          <w:szCs w:val="28"/>
        </w:rPr>
        <w:t>]</w:t>
      </w:r>
      <w:r w:rsidR="00D44784">
        <w:rPr>
          <w:rFonts w:cs="Times New Roman"/>
          <w:sz w:val="28"/>
          <w:szCs w:val="28"/>
        </w:rPr>
        <w:t xml:space="preserve"> </w:t>
      </w:r>
      <w:r w:rsidRPr="00CC042E">
        <w:rPr>
          <w:rFonts w:cs="Times New Roman"/>
          <w:sz w:val="28"/>
          <w:szCs w:val="28"/>
        </w:rPr>
        <w:t>Dựa trên phân tích tạm thời của giai đoạn 2/3 EPIC-HR, dữ liệu cho thấy nguy cơ nhập viện hoặc số tử vong liên quan đến COVID-19 từ bất kỳ nguyên nhân nào giảm 89% so với giả dược với kết quả:</w:t>
      </w:r>
    </w:p>
    <w:p w:rsidR="00D23161" w:rsidRPr="00CC042E" w:rsidRDefault="00D23161" w:rsidP="00820A72">
      <w:pPr>
        <w:ind w:firstLine="720"/>
        <w:contextualSpacing/>
        <w:jc w:val="both"/>
        <w:rPr>
          <w:rFonts w:cs="Times New Roman"/>
          <w:sz w:val="28"/>
          <w:szCs w:val="28"/>
        </w:rPr>
      </w:pPr>
      <w:r w:rsidRPr="00CC042E">
        <w:rPr>
          <w:rFonts w:cs="Times New Roman"/>
          <w:sz w:val="28"/>
          <w:szCs w:val="28"/>
        </w:rPr>
        <w:t>Nhóm 1: ở những bệnh nhân được điều trị trong vòng 3 ngày kể từ khi triệu chứng xuất hiện với tỷ lệ 0,8% bệnh nhân dùng PAXLOVID nhập viện trong vòng 28 ngày sau đó (3/389 nhập viện và không có trường hợp tử vong) so với 7,0% bệnh nhân dùng giả dược và nhập viện hoặc tử vong (27/385 nhập viện với 7 trường hợp tử vong) (p&lt;0.0001).</w:t>
      </w:r>
    </w:p>
    <w:p w:rsidR="00D23161" w:rsidRPr="00CC042E" w:rsidRDefault="00D23161" w:rsidP="00820A72">
      <w:pPr>
        <w:ind w:firstLine="720"/>
        <w:contextualSpacing/>
        <w:jc w:val="both"/>
        <w:rPr>
          <w:rFonts w:cs="Times New Roman"/>
          <w:sz w:val="28"/>
          <w:szCs w:val="28"/>
        </w:rPr>
      </w:pPr>
      <w:r w:rsidRPr="00CC042E">
        <w:rPr>
          <w:rFonts w:cs="Times New Roman"/>
          <w:sz w:val="28"/>
          <w:szCs w:val="28"/>
        </w:rPr>
        <w:t>Nhóm 2: Tỷ lệ nhập viện hoặc tử vong cũng giảm ở những bệnh nhân được điều trị trong vòng năm ngày sau khi có triệu chứng: 1,0% bệnh nhân dùng PAXLOVID đã nhập viện trong vòng 28 ngày sau đó (6/607 nhập viện, không có trường hợp tử vong), so với 6,7% bệnh nhân dùng giả dược (41/612 nhập viện với 10 trường hợp tử vong) (p&lt;0.0001).</w:t>
      </w:r>
    </w:p>
    <w:p w:rsidR="00D23161" w:rsidRPr="00CC042E" w:rsidRDefault="00D23161" w:rsidP="00820A72">
      <w:pPr>
        <w:ind w:firstLine="720"/>
        <w:contextualSpacing/>
        <w:jc w:val="both"/>
        <w:rPr>
          <w:rFonts w:cs="Times New Roman"/>
          <w:sz w:val="28"/>
          <w:szCs w:val="28"/>
        </w:rPr>
      </w:pPr>
      <w:r w:rsidRPr="00CC042E">
        <w:rPr>
          <w:rFonts w:cs="Times New Roman"/>
          <w:sz w:val="28"/>
          <w:szCs w:val="28"/>
        </w:rPr>
        <w:lastRenderedPageBreak/>
        <w:t>Trong vòng 28 ngày không có trường hợp tử vong nào được báo cáo ở bệnh nhân dùng PAXLOVID so với 10 (1,6%) trường hợp tử vong ở bệnh nhân dùng giả dược. Các tác dụng ngoại ý phát sinh khi điều trị có thể so sánh giữa PAXLOVID (19%) và giả dược (21%), hầu hết đều ở mức độ nhẹ. Trong số các bệnh nhân được đánh giá về các tác dụng ngoại ý phát sinh khi điều trị, ít tác dụng phụ nghiêm trọng hơn (1,7% so với 6,6%) và việc ngừng thuốc nghiên cứu do tác dụng phụ (2,1% so với 4,1%) tương ứng ở những bệnh nhân dùng PAXLOVID so với giả dược.</w:t>
      </w:r>
      <w:r w:rsidR="00C611B3">
        <w:rPr>
          <w:rFonts w:cs="Times New Roman"/>
          <w:sz w:val="28"/>
          <w:szCs w:val="28"/>
        </w:rPr>
        <w:t>[</w:t>
      </w:r>
      <w:r w:rsidR="00E337CE">
        <w:rPr>
          <w:rFonts w:cs="Times New Roman"/>
          <w:sz w:val="28"/>
          <w:szCs w:val="28"/>
        </w:rPr>
        <w:t>8</w:t>
      </w:r>
      <w:r w:rsidR="00C611B3">
        <w:rPr>
          <w:rFonts w:cs="Times New Roman"/>
          <w:sz w:val="28"/>
          <w:szCs w:val="28"/>
        </w:rPr>
        <w:t>][</w:t>
      </w:r>
      <w:r w:rsidR="00E337CE">
        <w:rPr>
          <w:rFonts w:cs="Times New Roman"/>
          <w:sz w:val="28"/>
          <w:szCs w:val="28"/>
        </w:rPr>
        <w:t>26</w:t>
      </w:r>
      <w:r w:rsidR="00C611B3">
        <w:rPr>
          <w:rFonts w:cs="Times New Roman"/>
          <w:sz w:val="28"/>
          <w:szCs w:val="28"/>
        </w:rPr>
        <w:t>]</w:t>
      </w:r>
    </w:p>
    <w:p w:rsidR="00DB0BC4" w:rsidRPr="00CC042E" w:rsidRDefault="00D44784" w:rsidP="00820A72">
      <w:pPr>
        <w:ind w:firstLine="720"/>
        <w:contextualSpacing/>
        <w:jc w:val="both"/>
        <w:rPr>
          <w:rFonts w:cs="Times New Roman"/>
          <w:sz w:val="28"/>
          <w:szCs w:val="28"/>
        </w:rPr>
      </w:pPr>
      <w:r>
        <w:rPr>
          <w:rFonts w:cs="Times New Roman"/>
          <w:sz w:val="28"/>
          <w:szCs w:val="28"/>
        </w:rPr>
        <w:t xml:space="preserve">Các thử nghiệm về hiệu quả của </w:t>
      </w:r>
      <w:r w:rsidRPr="00CC042E">
        <w:rPr>
          <w:rFonts w:cs="Times New Roman"/>
          <w:sz w:val="28"/>
          <w:szCs w:val="28"/>
        </w:rPr>
        <w:t xml:space="preserve">PF-07321332/ritonavir </w:t>
      </w:r>
      <w:r>
        <w:rPr>
          <w:rFonts w:cs="Times New Roman"/>
          <w:sz w:val="28"/>
          <w:szCs w:val="28"/>
        </w:rPr>
        <w:t xml:space="preserve">trên người khác đang được tiến hành như: </w:t>
      </w:r>
      <w:r w:rsidR="002425B6" w:rsidRPr="00CC042E">
        <w:rPr>
          <w:rFonts w:cs="Times New Roman"/>
          <w:sz w:val="28"/>
          <w:szCs w:val="28"/>
        </w:rPr>
        <w:t>nghiên cứu EPIC-SR (Evaluation of Protease Inhibition for COVID-19 in Standard-Risk Patients)</w:t>
      </w:r>
      <w:r>
        <w:rPr>
          <w:rFonts w:cs="Times New Roman"/>
          <w:sz w:val="28"/>
          <w:szCs w:val="28"/>
        </w:rPr>
        <w:t xml:space="preserve"> g</w:t>
      </w:r>
      <w:r w:rsidRPr="00CC042E">
        <w:rPr>
          <w:rFonts w:cs="Times New Roman"/>
          <w:sz w:val="28"/>
          <w:szCs w:val="28"/>
        </w:rPr>
        <w:t>iai đoạn 2/3</w:t>
      </w:r>
      <w:r w:rsidR="002425B6" w:rsidRPr="00CC042E">
        <w:rPr>
          <w:rFonts w:cs="Times New Roman"/>
          <w:sz w:val="28"/>
          <w:szCs w:val="28"/>
        </w:rPr>
        <w:t xml:space="preserve">, </w:t>
      </w:r>
      <w:r w:rsidR="008800DC" w:rsidRPr="00CC042E">
        <w:rPr>
          <w:rFonts w:cs="Times New Roman"/>
          <w:sz w:val="28"/>
          <w:szCs w:val="28"/>
        </w:rPr>
        <w:t xml:space="preserve">mù </w:t>
      </w:r>
      <w:r w:rsidR="002425B6" w:rsidRPr="00CC042E">
        <w:rPr>
          <w:rFonts w:cs="Times New Roman"/>
          <w:sz w:val="28"/>
          <w:szCs w:val="28"/>
        </w:rPr>
        <w:t>đôi để đánh giá hiệu quả và độ an toàn của PF-</w:t>
      </w:r>
      <w:r w:rsidR="00DB0BC4" w:rsidRPr="00CC042E">
        <w:rPr>
          <w:rFonts w:cs="Times New Roman"/>
          <w:sz w:val="28"/>
          <w:szCs w:val="28"/>
        </w:rPr>
        <w:t>07321332/Ritonavir</w:t>
      </w:r>
      <w:r w:rsidR="002425B6" w:rsidRPr="00CC042E">
        <w:rPr>
          <w:rFonts w:cs="Times New Roman"/>
          <w:sz w:val="28"/>
          <w:szCs w:val="28"/>
        </w:rPr>
        <w:t xml:space="preserve"> so với giả dược</w:t>
      </w:r>
      <w:r w:rsidR="008800DC" w:rsidRPr="00CC042E">
        <w:rPr>
          <w:rFonts w:cs="Times New Roman"/>
          <w:sz w:val="28"/>
          <w:szCs w:val="28"/>
        </w:rPr>
        <w:t xml:space="preserve"> </w:t>
      </w:r>
      <w:r w:rsidR="002425B6" w:rsidRPr="00CC042E">
        <w:rPr>
          <w:rFonts w:cs="Times New Roman"/>
          <w:sz w:val="28"/>
          <w:szCs w:val="28"/>
        </w:rPr>
        <w:t xml:space="preserve">ở bệnh nhân nhiễm COVID-19 với nguy cơ nhập viện và tử vong thấp, cỡ mẫu 1140. Những người tham gia đủ điều kiện được chẩn đoán xác định nhiễm SARS-CoV-2 sẽ được chỉ định ngẫu nhiên (1:1) dùng PF-07321332 / </w:t>
      </w:r>
      <w:r w:rsidR="00DB0BC4" w:rsidRPr="00CC042E">
        <w:rPr>
          <w:rFonts w:cs="Times New Roman"/>
          <w:sz w:val="28"/>
          <w:szCs w:val="28"/>
        </w:rPr>
        <w:t>R</w:t>
      </w:r>
      <w:r w:rsidR="002425B6" w:rsidRPr="00CC042E">
        <w:rPr>
          <w:rFonts w:cs="Times New Roman"/>
          <w:sz w:val="28"/>
          <w:szCs w:val="28"/>
        </w:rPr>
        <w:t>itonavir hoặc giả dược bằng đường uống cứ 12 giờ một lần trong 5 ngày (tổng cộng 10 liề</w:t>
      </w:r>
      <w:r>
        <w:rPr>
          <w:rFonts w:cs="Times New Roman"/>
          <w:sz w:val="28"/>
          <w:szCs w:val="28"/>
        </w:rPr>
        <w:t xml:space="preserve">u) </w:t>
      </w:r>
      <w:r w:rsidR="00C611B3">
        <w:rPr>
          <w:rFonts w:cs="Times New Roman"/>
          <w:sz w:val="28"/>
          <w:szCs w:val="28"/>
        </w:rPr>
        <w:t>[</w:t>
      </w:r>
      <w:r w:rsidR="00E337CE">
        <w:rPr>
          <w:rFonts w:cs="Times New Roman"/>
          <w:sz w:val="28"/>
          <w:szCs w:val="28"/>
        </w:rPr>
        <w:t>11</w:t>
      </w:r>
      <w:r w:rsidR="00C611B3">
        <w:rPr>
          <w:rFonts w:cs="Times New Roman"/>
          <w:sz w:val="28"/>
          <w:szCs w:val="28"/>
        </w:rPr>
        <w:t>]</w:t>
      </w:r>
      <w:r>
        <w:rPr>
          <w:rFonts w:cs="Times New Roman"/>
          <w:sz w:val="28"/>
          <w:szCs w:val="28"/>
        </w:rPr>
        <w:t xml:space="preserve">; </w:t>
      </w:r>
      <w:r w:rsidR="00DB0BC4" w:rsidRPr="00CC042E">
        <w:rPr>
          <w:rFonts w:cs="Times New Roman"/>
          <w:sz w:val="28"/>
          <w:szCs w:val="28"/>
        </w:rPr>
        <w:t>nghiên cứu EPIC-PEP</w:t>
      </w:r>
      <w:r>
        <w:rPr>
          <w:rFonts w:cs="Times New Roman"/>
          <w:sz w:val="28"/>
          <w:szCs w:val="28"/>
        </w:rPr>
        <w:t xml:space="preserve"> g</w:t>
      </w:r>
      <w:r w:rsidRPr="00CC042E">
        <w:rPr>
          <w:rFonts w:cs="Times New Roman"/>
          <w:sz w:val="28"/>
          <w:szCs w:val="28"/>
        </w:rPr>
        <w:t xml:space="preserve">iai đoạn 2/3 </w:t>
      </w:r>
      <w:r w:rsidR="00DB0BC4" w:rsidRPr="00CC042E">
        <w:rPr>
          <w:rFonts w:cs="Times New Roman"/>
          <w:sz w:val="28"/>
          <w:szCs w:val="28"/>
        </w:rPr>
        <w:t xml:space="preserve"> (Evaluation of Protease Inhibition for COVID-1</w:t>
      </w:r>
      <w:r w:rsidR="00DD14BC">
        <w:rPr>
          <w:rFonts w:cs="Times New Roman"/>
          <w:sz w:val="28"/>
          <w:szCs w:val="28"/>
        </w:rPr>
        <w:t>9 in Post-Exposure Prophylaxis)</w:t>
      </w:r>
      <w:r w:rsidR="00DB0BC4" w:rsidRPr="00CC042E">
        <w:rPr>
          <w:rFonts w:cs="Times New Roman"/>
          <w:sz w:val="28"/>
          <w:szCs w:val="28"/>
        </w:rPr>
        <w:t>, ngẫu nhiên, mù đôi, có đối chứng với giả dược, cỡ mẫu 2.660 ngườ</w:t>
      </w:r>
      <w:r w:rsidR="00DD14BC">
        <w:rPr>
          <w:rFonts w:cs="Times New Roman"/>
          <w:sz w:val="28"/>
          <w:szCs w:val="28"/>
        </w:rPr>
        <w:t>i</w:t>
      </w:r>
      <w:r w:rsidR="00DB0BC4" w:rsidRPr="00CC042E">
        <w:rPr>
          <w:rFonts w:cs="Times New Roman"/>
          <w:sz w:val="28"/>
          <w:szCs w:val="28"/>
        </w:rPr>
        <w:t xml:space="preserve"> khỏe mạ</w:t>
      </w:r>
      <w:r w:rsidR="00DD14BC">
        <w:rPr>
          <w:rFonts w:cs="Times New Roman"/>
          <w:sz w:val="28"/>
          <w:szCs w:val="28"/>
        </w:rPr>
        <w:t>nh</w:t>
      </w:r>
      <w:r w:rsidR="00DB0BC4" w:rsidRPr="00CC042E">
        <w:rPr>
          <w:rFonts w:cs="Times New Roman"/>
          <w:sz w:val="28"/>
          <w:szCs w:val="28"/>
        </w:rPr>
        <w:t xml:space="preserve"> từ 18 tuổi trở lên và sống trong cùng một hộ gia đình với một cá nhân đã xác định bị nhiễm SARS-CoV-2. Những người tham gia sẽ được chỉ định ngẫ</w:t>
      </w:r>
      <w:r w:rsidR="00E05F59" w:rsidRPr="00CC042E">
        <w:rPr>
          <w:rFonts w:cs="Times New Roman"/>
          <w:sz w:val="28"/>
          <w:szCs w:val="28"/>
        </w:rPr>
        <w:t>u nhiên (1:1:</w:t>
      </w:r>
      <w:r w:rsidR="00DB0BC4" w:rsidRPr="00CC042E">
        <w:rPr>
          <w:rFonts w:cs="Times New Roman"/>
          <w:sz w:val="28"/>
          <w:szCs w:val="28"/>
        </w:rPr>
        <w:t>1) dùng</w:t>
      </w:r>
      <w:r w:rsidR="00E05F59" w:rsidRPr="00CC042E">
        <w:rPr>
          <w:rFonts w:cs="Times New Roman"/>
          <w:sz w:val="28"/>
          <w:szCs w:val="28"/>
        </w:rPr>
        <w:t xml:space="preserve"> PF-07321332/R</w:t>
      </w:r>
      <w:r w:rsidR="00DB0BC4" w:rsidRPr="00CC042E">
        <w:rPr>
          <w:rFonts w:cs="Times New Roman"/>
          <w:sz w:val="28"/>
          <w:szCs w:val="28"/>
        </w:rPr>
        <w:t>itonavir hoặc giả dược bằng đường uống hai lần mỗi ngày trong 5 hoặc 10 ngày. Mục tiêu chính của thử nghiệm là đánh giá tính an toàn và hiệu quả trong việc ngăn ngừa nhiễm SARS-CoV-2 và các triệu chứng của nó cho đến ngày thứ 14.</w:t>
      </w:r>
      <w:r w:rsidR="00C611B3">
        <w:rPr>
          <w:rFonts w:cs="Times New Roman"/>
          <w:sz w:val="28"/>
          <w:szCs w:val="28"/>
        </w:rPr>
        <w:t>[</w:t>
      </w:r>
      <w:r w:rsidR="00E337CE">
        <w:rPr>
          <w:rFonts w:cs="Times New Roman"/>
          <w:sz w:val="28"/>
          <w:szCs w:val="28"/>
        </w:rPr>
        <w:t>13</w:t>
      </w:r>
      <w:r w:rsidR="00C611B3">
        <w:rPr>
          <w:rFonts w:cs="Times New Roman"/>
          <w:sz w:val="28"/>
          <w:szCs w:val="28"/>
        </w:rPr>
        <w:t>][</w:t>
      </w:r>
      <w:r w:rsidR="00E337CE">
        <w:rPr>
          <w:rFonts w:cs="Times New Roman"/>
          <w:sz w:val="28"/>
          <w:szCs w:val="28"/>
        </w:rPr>
        <w:t>27</w:t>
      </w:r>
      <w:r w:rsidR="00C611B3">
        <w:rPr>
          <w:rFonts w:cs="Times New Roman"/>
          <w:sz w:val="28"/>
          <w:szCs w:val="28"/>
        </w:rPr>
        <w:t>]</w:t>
      </w:r>
    </w:p>
    <w:p w:rsidR="00381E74" w:rsidRPr="00CC042E" w:rsidRDefault="00DB0BC4" w:rsidP="00820A72">
      <w:pPr>
        <w:ind w:firstLine="720"/>
        <w:contextualSpacing/>
        <w:jc w:val="both"/>
        <w:rPr>
          <w:rFonts w:cs="Times New Roman"/>
          <w:sz w:val="28"/>
          <w:szCs w:val="28"/>
        </w:rPr>
      </w:pPr>
      <w:r w:rsidRPr="00CC042E">
        <w:rPr>
          <w:rFonts w:cs="Times New Roman"/>
          <w:sz w:val="28"/>
          <w:szCs w:val="28"/>
        </w:rPr>
        <w:t xml:space="preserve">Ngoài ra các thử nghiệm </w:t>
      </w:r>
      <w:r w:rsidR="0058322B" w:rsidRPr="00CC042E">
        <w:rPr>
          <w:rFonts w:cs="Times New Roman"/>
          <w:sz w:val="28"/>
          <w:szCs w:val="28"/>
        </w:rPr>
        <w:t>nhằm đánh giá tương tác thuốc, khả năng dung nạp ở người suy thậ</w:t>
      </w:r>
      <w:r w:rsidR="009E4761">
        <w:rPr>
          <w:rFonts w:cs="Times New Roman"/>
          <w:sz w:val="28"/>
          <w:szCs w:val="28"/>
        </w:rPr>
        <w:t>n, suy gan</w:t>
      </w:r>
      <w:r w:rsidR="0058322B" w:rsidRPr="00CC042E">
        <w:rPr>
          <w:rFonts w:cs="Times New Roman"/>
          <w:sz w:val="28"/>
          <w:szCs w:val="28"/>
        </w:rPr>
        <w:t xml:space="preserve"> đang được tiến</w:t>
      </w:r>
      <w:r w:rsidR="00CE5652">
        <w:rPr>
          <w:rFonts w:cs="Times New Roman"/>
          <w:sz w:val="28"/>
          <w:szCs w:val="28"/>
        </w:rPr>
        <w:t xml:space="preserve"> hành.</w:t>
      </w:r>
      <w:r w:rsidR="00E337CE">
        <w:rPr>
          <w:rFonts w:cs="Times New Roman"/>
          <w:sz w:val="28"/>
          <w:szCs w:val="28"/>
        </w:rPr>
        <w:t>[5][6][7][9][10]</w:t>
      </w:r>
      <w:r w:rsidR="0058322B" w:rsidRPr="00CC042E">
        <w:rPr>
          <w:rFonts w:cs="Times New Roman"/>
          <w:sz w:val="28"/>
          <w:szCs w:val="28"/>
        </w:rPr>
        <w:t>[</w:t>
      </w:r>
      <w:r w:rsidR="00E337CE">
        <w:rPr>
          <w:rFonts w:cs="Times New Roman"/>
          <w:sz w:val="28"/>
          <w:szCs w:val="28"/>
        </w:rPr>
        <w:t>12</w:t>
      </w:r>
      <w:r w:rsidR="0058322B" w:rsidRPr="00CC042E">
        <w:rPr>
          <w:rFonts w:cs="Times New Roman"/>
          <w:sz w:val="28"/>
          <w:szCs w:val="28"/>
        </w:rPr>
        <w:t>]</w:t>
      </w:r>
    </w:p>
    <w:p w:rsidR="00993F77" w:rsidRDefault="00DB0BC4" w:rsidP="00305BAB">
      <w:pPr>
        <w:jc w:val="both"/>
        <w:rPr>
          <w:rFonts w:cs="Times New Roman"/>
          <w:sz w:val="28"/>
          <w:szCs w:val="28"/>
        </w:rPr>
      </w:pPr>
      <w:r w:rsidRPr="00CC042E">
        <w:rPr>
          <w:rFonts w:cs="Times New Roman"/>
          <w:sz w:val="28"/>
          <w:szCs w:val="28"/>
        </w:rPr>
        <w:t xml:space="preserve">Các nghiên cứu </w:t>
      </w:r>
      <w:r w:rsidR="002143CB">
        <w:rPr>
          <w:rFonts w:cs="Times New Roman"/>
          <w:sz w:val="28"/>
          <w:szCs w:val="28"/>
        </w:rPr>
        <w:t xml:space="preserve">thử nghiệm lâm sàng </w:t>
      </w:r>
      <w:r w:rsidRPr="00CC042E">
        <w:rPr>
          <w:rFonts w:cs="Times New Roman"/>
          <w:sz w:val="28"/>
          <w:szCs w:val="28"/>
        </w:rPr>
        <w:t>tiến hành vớ</w:t>
      </w:r>
      <w:r w:rsidR="005E78EB">
        <w:rPr>
          <w:rFonts w:cs="Times New Roman"/>
          <w:sz w:val="28"/>
          <w:szCs w:val="28"/>
        </w:rPr>
        <w:t>i PF-07321332/</w:t>
      </w:r>
      <w:r w:rsidRPr="00CC042E">
        <w:rPr>
          <w:rFonts w:cs="Times New Roman"/>
          <w:sz w:val="28"/>
          <w:szCs w:val="28"/>
        </w:rPr>
        <w:t xml:space="preserve">Rritonavir được tổng hợp tại </w:t>
      </w:r>
      <w:r w:rsidRPr="002143CB">
        <w:rPr>
          <w:rFonts w:cs="Times New Roman"/>
          <w:b/>
          <w:sz w:val="28"/>
          <w:szCs w:val="28"/>
        </w:rPr>
        <w:t>Bả</w:t>
      </w:r>
      <w:r w:rsidR="00D44784">
        <w:rPr>
          <w:rFonts w:cs="Times New Roman"/>
          <w:b/>
          <w:sz w:val="28"/>
          <w:szCs w:val="28"/>
        </w:rPr>
        <w:t>ng 3</w:t>
      </w:r>
      <w:r w:rsidRPr="00CC042E">
        <w:rPr>
          <w:rFonts w:cs="Times New Roman"/>
          <w:sz w:val="28"/>
          <w:szCs w:val="28"/>
        </w:rPr>
        <w:t>.</w:t>
      </w:r>
    </w:p>
    <w:tbl>
      <w:tblPr>
        <w:tblStyle w:val="TableGrid"/>
        <w:tblW w:w="11482" w:type="dxa"/>
        <w:tblInd w:w="-601" w:type="dxa"/>
        <w:shd w:val="clear" w:color="auto" w:fill="FFFFFF" w:themeFill="background1"/>
        <w:tblLayout w:type="fixed"/>
        <w:tblLook w:val="04A0" w:firstRow="1" w:lastRow="0" w:firstColumn="1" w:lastColumn="0" w:noHBand="0" w:noVBand="1"/>
      </w:tblPr>
      <w:tblGrid>
        <w:gridCol w:w="851"/>
        <w:gridCol w:w="1559"/>
        <w:gridCol w:w="2019"/>
        <w:gridCol w:w="1276"/>
        <w:gridCol w:w="4111"/>
        <w:gridCol w:w="1666"/>
      </w:tblGrid>
      <w:tr w:rsidR="00305BAB" w:rsidRPr="00CC042E" w:rsidTr="00D44784">
        <w:trPr>
          <w:trHeight w:val="573"/>
        </w:trPr>
        <w:tc>
          <w:tcPr>
            <w:tcW w:w="11482" w:type="dxa"/>
            <w:gridSpan w:val="6"/>
            <w:tcBorders>
              <w:top w:val="nil"/>
              <w:left w:val="nil"/>
              <w:bottom w:val="single" w:sz="4" w:space="0" w:color="auto"/>
              <w:right w:val="nil"/>
            </w:tcBorders>
            <w:shd w:val="clear" w:color="auto" w:fill="FFFFFF" w:themeFill="background1"/>
          </w:tcPr>
          <w:p w:rsidR="001C123E" w:rsidRPr="00CC042E" w:rsidRDefault="001C123E" w:rsidP="00DB0BC4">
            <w:pPr>
              <w:jc w:val="both"/>
              <w:rPr>
                <w:rFonts w:cs="Times New Roman"/>
                <w:b/>
                <w:i/>
                <w:sz w:val="28"/>
                <w:szCs w:val="28"/>
              </w:rPr>
            </w:pPr>
            <w:r w:rsidRPr="00CC042E">
              <w:rPr>
                <w:rFonts w:cs="Times New Roman"/>
                <w:b/>
                <w:i/>
                <w:sz w:val="28"/>
                <w:szCs w:val="28"/>
              </w:rPr>
              <w:t>Bả</w:t>
            </w:r>
            <w:r w:rsidR="00D44784">
              <w:rPr>
                <w:rFonts w:cs="Times New Roman"/>
                <w:b/>
                <w:i/>
                <w:sz w:val="28"/>
                <w:szCs w:val="28"/>
              </w:rPr>
              <w:t>ng 3</w:t>
            </w:r>
            <w:r w:rsidRPr="00CC042E">
              <w:rPr>
                <w:rFonts w:cs="Times New Roman"/>
                <w:b/>
                <w:i/>
                <w:sz w:val="28"/>
                <w:szCs w:val="28"/>
              </w:rPr>
              <w:t xml:space="preserve">. </w:t>
            </w:r>
            <w:r w:rsidRPr="00CC042E">
              <w:rPr>
                <w:rFonts w:cs="Times New Roman"/>
                <w:i/>
                <w:sz w:val="28"/>
                <w:szCs w:val="28"/>
              </w:rPr>
              <w:t>Tóm tắt các nghiên cứu đã hoàn thành và đang tiến hành với PF-07321332 / Ritonavir trong COVID-19.</w:t>
            </w:r>
          </w:p>
        </w:tc>
      </w:tr>
      <w:tr w:rsidR="00305BAB" w:rsidRPr="00CC042E" w:rsidTr="00D44784">
        <w:trPr>
          <w:trHeight w:val="1114"/>
        </w:trPr>
        <w:tc>
          <w:tcPr>
            <w:tcW w:w="851" w:type="dxa"/>
            <w:tcBorders>
              <w:top w:val="single" w:sz="4" w:space="0" w:color="auto"/>
            </w:tcBorders>
            <w:shd w:val="clear" w:color="auto" w:fill="FFFFFF" w:themeFill="background1"/>
            <w:vAlign w:val="center"/>
          </w:tcPr>
          <w:p w:rsidR="001B694E" w:rsidRPr="00CC042E" w:rsidRDefault="001B694E" w:rsidP="00305BAB">
            <w:pPr>
              <w:jc w:val="center"/>
              <w:rPr>
                <w:rFonts w:cs="Times New Roman"/>
                <w:b/>
                <w:sz w:val="28"/>
                <w:szCs w:val="28"/>
              </w:rPr>
            </w:pPr>
            <w:r w:rsidRPr="00CC042E">
              <w:rPr>
                <w:rFonts w:cs="Times New Roman"/>
                <w:b/>
                <w:sz w:val="28"/>
                <w:szCs w:val="28"/>
              </w:rPr>
              <w:t>STT</w:t>
            </w:r>
          </w:p>
        </w:tc>
        <w:tc>
          <w:tcPr>
            <w:tcW w:w="1559" w:type="dxa"/>
            <w:tcBorders>
              <w:top w:val="single" w:sz="4" w:space="0" w:color="auto"/>
            </w:tcBorders>
            <w:shd w:val="clear" w:color="auto" w:fill="FFFFFF" w:themeFill="background1"/>
            <w:vAlign w:val="center"/>
          </w:tcPr>
          <w:p w:rsidR="001B694E" w:rsidRPr="00CC042E" w:rsidRDefault="001B694E" w:rsidP="00305BAB">
            <w:pPr>
              <w:jc w:val="center"/>
              <w:rPr>
                <w:rFonts w:cs="Times New Roman"/>
                <w:b/>
                <w:sz w:val="28"/>
                <w:szCs w:val="28"/>
              </w:rPr>
            </w:pPr>
            <w:r w:rsidRPr="00CC042E">
              <w:rPr>
                <w:rFonts w:cs="Times New Roman"/>
                <w:b/>
                <w:sz w:val="28"/>
                <w:szCs w:val="28"/>
              </w:rPr>
              <w:t>Ngày tiến hành</w:t>
            </w:r>
          </w:p>
        </w:tc>
        <w:tc>
          <w:tcPr>
            <w:tcW w:w="2019" w:type="dxa"/>
            <w:tcBorders>
              <w:top w:val="single" w:sz="4" w:space="0" w:color="auto"/>
            </w:tcBorders>
            <w:shd w:val="clear" w:color="auto" w:fill="FFFFFF" w:themeFill="background1"/>
            <w:vAlign w:val="center"/>
          </w:tcPr>
          <w:p w:rsidR="001B694E" w:rsidRPr="00CC042E" w:rsidRDefault="001B694E" w:rsidP="00305BAB">
            <w:pPr>
              <w:jc w:val="center"/>
              <w:rPr>
                <w:rFonts w:cs="Times New Roman"/>
                <w:b/>
                <w:sz w:val="28"/>
                <w:szCs w:val="28"/>
              </w:rPr>
            </w:pPr>
            <w:r w:rsidRPr="00CC042E">
              <w:rPr>
                <w:rFonts w:cs="Times New Roman"/>
                <w:b/>
                <w:sz w:val="28"/>
                <w:szCs w:val="28"/>
              </w:rPr>
              <w:t>Mã định danh ClinicalTrials.gov</w:t>
            </w:r>
          </w:p>
        </w:tc>
        <w:tc>
          <w:tcPr>
            <w:tcW w:w="1276" w:type="dxa"/>
            <w:tcBorders>
              <w:top w:val="single" w:sz="4" w:space="0" w:color="auto"/>
            </w:tcBorders>
            <w:shd w:val="clear" w:color="auto" w:fill="FFFFFF" w:themeFill="background1"/>
            <w:vAlign w:val="center"/>
          </w:tcPr>
          <w:p w:rsidR="001B694E" w:rsidRPr="00CC042E" w:rsidRDefault="001B694E" w:rsidP="00305BAB">
            <w:pPr>
              <w:jc w:val="center"/>
              <w:rPr>
                <w:rFonts w:cs="Times New Roman"/>
                <w:b/>
                <w:sz w:val="28"/>
                <w:szCs w:val="28"/>
              </w:rPr>
            </w:pPr>
            <w:r w:rsidRPr="00CC042E">
              <w:rPr>
                <w:rFonts w:cs="Times New Roman"/>
                <w:b/>
                <w:sz w:val="28"/>
                <w:szCs w:val="28"/>
              </w:rPr>
              <w:t>Tình trạng</w:t>
            </w:r>
          </w:p>
        </w:tc>
        <w:tc>
          <w:tcPr>
            <w:tcW w:w="4111" w:type="dxa"/>
            <w:tcBorders>
              <w:top w:val="single" w:sz="4" w:space="0" w:color="auto"/>
            </w:tcBorders>
            <w:shd w:val="clear" w:color="auto" w:fill="FFFFFF" w:themeFill="background1"/>
            <w:vAlign w:val="center"/>
          </w:tcPr>
          <w:p w:rsidR="001B694E" w:rsidRPr="00CC042E" w:rsidRDefault="001B694E" w:rsidP="00305BAB">
            <w:pPr>
              <w:jc w:val="center"/>
              <w:rPr>
                <w:rFonts w:cs="Times New Roman"/>
                <w:b/>
                <w:sz w:val="28"/>
                <w:szCs w:val="28"/>
              </w:rPr>
            </w:pPr>
            <w:r w:rsidRPr="00CC042E">
              <w:rPr>
                <w:rFonts w:cs="Times New Roman"/>
                <w:b/>
                <w:sz w:val="28"/>
                <w:szCs w:val="28"/>
              </w:rPr>
              <w:t>Tóm tắt nghiên cứu</w:t>
            </w:r>
          </w:p>
        </w:tc>
        <w:tc>
          <w:tcPr>
            <w:tcW w:w="1666" w:type="dxa"/>
            <w:tcBorders>
              <w:top w:val="single" w:sz="4" w:space="0" w:color="auto"/>
            </w:tcBorders>
            <w:shd w:val="clear" w:color="auto" w:fill="FFFFFF" w:themeFill="background1"/>
            <w:vAlign w:val="center"/>
          </w:tcPr>
          <w:p w:rsidR="001B694E" w:rsidRPr="00CC042E" w:rsidRDefault="001B694E" w:rsidP="00305BAB">
            <w:pPr>
              <w:jc w:val="center"/>
              <w:rPr>
                <w:rFonts w:cs="Times New Roman"/>
                <w:b/>
                <w:sz w:val="28"/>
                <w:szCs w:val="28"/>
              </w:rPr>
            </w:pPr>
            <w:r w:rsidRPr="00CC042E">
              <w:rPr>
                <w:rFonts w:cs="Times New Roman"/>
                <w:b/>
                <w:sz w:val="28"/>
                <w:szCs w:val="28"/>
              </w:rPr>
              <w:t>Đối tượng, Cỡ mẫu</w:t>
            </w:r>
          </w:p>
        </w:tc>
      </w:tr>
      <w:tr w:rsidR="00305BAB" w:rsidRPr="00CC042E" w:rsidTr="00305BAB">
        <w:tc>
          <w:tcPr>
            <w:tcW w:w="851" w:type="dxa"/>
            <w:shd w:val="clear" w:color="auto" w:fill="FFFFFF" w:themeFill="background1"/>
            <w:vAlign w:val="center"/>
          </w:tcPr>
          <w:p w:rsidR="001B694E" w:rsidRPr="00CC042E" w:rsidRDefault="001B694E" w:rsidP="00305BAB">
            <w:pPr>
              <w:jc w:val="center"/>
              <w:rPr>
                <w:rFonts w:cs="Times New Roman"/>
                <w:sz w:val="28"/>
                <w:szCs w:val="28"/>
              </w:rPr>
            </w:pPr>
            <w:r w:rsidRPr="00CC042E">
              <w:rPr>
                <w:rFonts w:cs="Times New Roman"/>
                <w:sz w:val="28"/>
                <w:szCs w:val="28"/>
              </w:rPr>
              <w:t>1</w:t>
            </w:r>
          </w:p>
        </w:tc>
        <w:tc>
          <w:tcPr>
            <w:tcW w:w="1559" w:type="dxa"/>
            <w:shd w:val="clear" w:color="auto" w:fill="FFFFFF" w:themeFill="background1"/>
            <w:vAlign w:val="center"/>
          </w:tcPr>
          <w:p w:rsidR="001B694E" w:rsidRPr="00CC042E" w:rsidRDefault="006F020B" w:rsidP="00305BAB">
            <w:pPr>
              <w:jc w:val="both"/>
              <w:rPr>
                <w:rFonts w:cs="Times New Roman"/>
                <w:sz w:val="28"/>
                <w:szCs w:val="28"/>
              </w:rPr>
            </w:pPr>
            <w:r w:rsidRPr="00CC042E">
              <w:rPr>
                <w:rFonts w:cs="Times New Roman"/>
                <w:sz w:val="28"/>
                <w:szCs w:val="28"/>
              </w:rPr>
              <w:t>11.2</w:t>
            </w:r>
            <w:r w:rsidR="001B694E" w:rsidRPr="00CC042E">
              <w:rPr>
                <w:rFonts w:cs="Times New Roman"/>
                <w:sz w:val="28"/>
                <w:szCs w:val="28"/>
              </w:rPr>
              <w:t>.2021</w:t>
            </w:r>
          </w:p>
        </w:tc>
        <w:tc>
          <w:tcPr>
            <w:tcW w:w="2019" w:type="dxa"/>
            <w:shd w:val="clear" w:color="auto" w:fill="FFFFFF" w:themeFill="background1"/>
            <w:vAlign w:val="center"/>
          </w:tcPr>
          <w:p w:rsidR="009B3C8E" w:rsidRPr="00CC042E" w:rsidRDefault="009B3C8E" w:rsidP="00305BAB">
            <w:pPr>
              <w:jc w:val="both"/>
              <w:rPr>
                <w:rFonts w:cs="Times New Roman"/>
                <w:sz w:val="28"/>
                <w:szCs w:val="28"/>
              </w:rPr>
            </w:pPr>
          </w:p>
          <w:p w:rsidR="009B3C8E" w:rsidRPr="00CC042E" w:rsidRDefault="009B3C8E" w:rsidP="00305BAB">
            <w:pPr>
              <w:jc w:val="both"/>
              <w:rPr>
                <w:rFonts w:cs="Times New Roman"/>
                <w:sz w:val="28"/>
                <w:szCs w:val="28"/>
              </w:rPr>
            </w:pPr>
          </w:p>
          <w:p w:rsidR="001B694E" w:rsidRPr="00CC042E" w:rsidRDefault="006E406C" w:rsidP="00305BAB">
            <w:pPr>
              <w:jc w:val="both"/>
              <w:rPr>
                <w:rFonts w:cs="Times New Roman"/>
                <w:sz w:val="28"/>
                <w:szCs w:val="28"/>
              </w:rPr>
            </w:pPr>
            <w:hyperlink r:id="rId13" w:tooltip="Current version of study NCT04756531 on ClinicalTrials.gov" w:history="1">
              <w:r w:rsidR="001B694E" w:rsidRPr="00CC042E">
                <w:rPr>
                  <w:rStyle w:val="Hyperlink"/>
                  <w:rFonts w:cs="Times New Roman"/>
                  <w:color w:val="auto"/>
                  <w:sz w:val="28"/>
                  <w:szCs w:val="28"/>
                  <w:u w:val="none"/>
                </w:rPr>
                <w:t>NCT04756531</w:t>
              </w:r>
            </w:hyperlink>
          </w:p>
          <w:p w:rsidR="001B694E" w:rsidRPr="00CC042E" w:rsidRDefault="001B694E" w:rsidP="00305BAB">
            <w:pPr>
              <w:jc w:val="both"/>
              <w:rPr>
                <w:rFonts w:cs="Times New Roman"/>
                <w:sz w:val="28"/>
                <w:szCs w:val="28"/>
              </w:rPr>
            </w:pPr>
          </w:p>
          <w:p w:rsidR="001B694E" w:rsidRPr="00CC042E" w:rsidRDefault="001B694E" w:rsidP="00305BAB">
            <w:pPr>
              <w:jc w:val="both"/>
              <w:rPr>
                <w:rFonts w:cs="Times New Roman"/>
                <w:sz w:val="28"/>
                <w:szCs w:val="28"/>
              </w:rPr>
            </w:pPr>
          </w:p>
        </w:tc>
        <w:tc>
          <w:tcPr>
            <w:tcW w:w="1276" w:type="dxa"/>
            <w:shd w:val="clear" w:color="auto" w:fill="FFFFFF" w:themeFill="background1"/>
            <w:vAlign w:val="center"/>
          </w:tcPr>
          <w:p w:rsidR="001B694E" w:rsidRPr="00CC042E" w:rsidRDefault="001B694E" w:rsidP="00305BAB">
            <w:pPr>
              <w:jc w:val="both"/>
              <w:rPr>
                <w:rFonts w:cs="Times New Roman"/>
                <w:sz w:val="28"/>
                <w:szCs w:val="28"/>
              </w:rPr>
            </w:pPr>
            <w:r w:rsidRPr="00CC042E">
              <w:rPr>
                <w:rFonts w:cs="Times New Roman"/>
                <w:sz w:val="28"/>
                <w:szCs w:val="28"/>
              </w:rPr>
              <w:t>Đã hoàn thành</w:t>
            </w:r>
          </w:p>
        </w:tc>
        <w:tc>
          <w:tcPr>
            <w:tcW w:w="4111" w:type="dxa"/>
            <w:shd w:val="clear" w:color="auto" w:fill="FFFFFF" w:themeFill="background1"/>
            <w:vAlign w:val="center"/>
          </w:tcPr>
          <w:p w:rsidR="001B694E" w:rsidRPr="00CC042E" w:rsidRDefault="00FA0E13" w:rsidP="00305BAB">
            <w:pPr>
              <w:jc w:val="both"/>
              <w:rPr>
                <w:rFonts w:cs="Times New Roman"/>
                <w:sz w:val="28"/>
                <w:szCs w:val="28"/>
              </w:rPr>
            </w:pPr>
            <w:r w:rsidRPr="00CC042E">
              <w:rPr>
                <w:rFonts w:cs="Times New Roman"/>
                <w:sz w:val="28"/>
                <w:szCs w:val="28"/>
              </w:rPr>
              <w:t xml:space="preserve">Phase 1, </w:t>
            </w:r>
            <w:r w:rsidR="001B694E" w:rsidRPr="00CC042E">
              <w:rPr>
                <w:rFonts w:cs="Times New Roman"/>
                <w:sz w:val="28"/>
                <w:szCs w:val="28"/>
              </w:rPr>
              <w:t>đánh giá tính an toàn, khả năng dung nạp và dược động học của PF-07321332 ở những người tham gia khỏe mạnh.</w:t>
            </w:r>
          </w:p>
        </w:tc>
        <w:tc>
          <w:tcPr>
            <w:tcW w:w="1666" w:type="dxa"/>
            <w:shd w:val="clear" w:color="auto" w:fill="FFFFFF" w:themeFill="background1"/>
            <w:vAlign w:val="center"/>
          </w:tcPr>
          <w:p w:rsidR="001B694E" w:rsidRPr="00CC042E" w:rsidRDefault="001B694E" w:rsidP="00305BAB">
            <w:pPr>
              <w:jc w:val="both"/>
              <w:rPr>
                <w:rFonts w:cs="Times New Roman"/>
                <w:sz w:val="28"/>
                <w:szCs w:val="28"/>
              </w:rPr>
            </w:pPr>
            <w:r w:rsidRPr="00CC042E">
              <w:rPr>
                <w:rFonts w:cs="Times New Roman"/>
                <w:sz w:val="28"/>
                <w:szCs w:val="28"/>
              </w:rPr>
              <w:t xml:space="preserve">Người </w:t>
            </w:r>
            <w:r w:rsidR="000E2EED" w:rsidRPr="00CC042E">
              <w:rPr>
                <w:rFonts w:cs="Times New Roman"/>
                <w:sz w:val="28"/>
                <w:szCs w:val="28"/>
              </w:rPr>
              <w:t>bình thườ</w:t>
            </w:r>
            <w:r w:rsidR="003C5B05" w:rsidRPr="00CC042E">
              <w:rPr>
                <w:rFonts w:cs="Times New Roman"/>
                <w:sz w:val="28"/>
                <w:szCs w:val="28"/>
              </w:rPr>
              <w:t>ng</w:t>
            </w:r>
            <w:r w:rsidRPr="00CC042E">
              <w:rPr>
                <w:rFonts w:cs="Times New Roman"/>
                <w:sz w:val="28"/>
                <w:szCs w:val="28"/>
              </w:rPr>
              <w:t>, n = 70</w:t>
            </w:r>
          </w:p>
        </w:tc>
      </w:tr>
      <w:tr w:rsidR="00305BAB" w:rsidRPr="00CC042E" w:rsidTr="00305BAB">
        <w:tc>
          <w:tcPr>
            <w:tcW w:w="851" w:type="dxa"/>
            <w:shd w:val="clear" w:color="auto" w:fill="FFFFFF" w:themeFill="background1"/>
            <w:vAlign w:val="center"/>
          </w:tcPr>
          <w:p w:rsidR="00FA0E13" w:rsidRPr="00CC042E" w:rsidRDefault="00FA0E13" w:rsidP="00305BAB">
            <w:pPr>
              <w:jc w:val="center"/>
              <w:rPr>
                <w:rFonts w:cs="Times New Roman"/>
                <w:sz w:val="28"/>
                <w:szCs w:val="28"/>
              </w:rPr>
            </w:pPr>
            <w:r w:rsidRPr="00CC042E">
              <w:rPr>
                <w:rFonts w:cs="Times New Roman"/>
                <w:sz w:val="28"/>
                <w:szCs w:val="28"/>
              </w:rPr>
              <w:lastRenderedPageBreak/>
              <w:t>2</w:t>
            </w:r>
          </w:p>
        </w:tc>
        <w:tc>
          <w:tcPr>
            <w:tcW w:w="1559"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20.7.2021</w:t>
            </w:r>
          </w:p>
        </w:tc>
        <w:tc>
          <w:tcPr>
            <w:tcW w:w="2019"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NCT04962022</w:t>
            </w:r>
          </w:p>
        </w:tc>
        <w:tc>
          <w:tcPr>
            <w:tcW w:w="127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Đã hoàn thành</w:t>
            </w:r>
          </w:p>
        </w:tc>
        <w:tc>
          <w:tcPr>
            <w:tcW w:w="4111"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Phase 1 nhằm đánh giá ảnh hưởng Itraconazole đến dược động học của PF-07321332/Ritonavir trên người khỏe mạnh</w:t>
            </w:r>
          </w:p>
        </w:tc>
        <w:tc>
          <w:tcPr>
            <w:tcW w:w="166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Người bình thường, n = 12</w:t>
            </w:r>
          </w:p>
          <w:p w:rsidR="00FA0E13" w:rsidRPr="00CC042E" w:rsidRDefault="00FA0E13" w:rsidP="00305BAB">
            <w:pPr>
              <w:jc w:val="both"/>
              <w:rPr>
                <w:rFonts w:cs="Times New Roman"/>
                <w:sz w:val="28"/>
                <w:szCs w:val="28"/>
              </w:rPr>
            </w:pPr>
          </w:p>
          <w:p w:rsidR="00FA0E13" w:rsidRPr="00CC042E" w:rsidRDefault="00FA0E13" w:rsidP="00305BAB">
            <w:pPr>
              <w:jc w:val="both"/>
              <w:rPr>
                <w:rFonts w:cs="Times New Roman"/>
                <w:sz w:val="28"/>
                <w:szCs w:val="28"/>
              </w:rPr>
            </w:pPr>
          </w:p>
        </w:tc>
      </w:tr>
      <w:tr w:rsidR="00305BAB" w:rsidRPr="00CC042E" w:rsidTr="00305BAB">
        <w:tc>
          <w:tcPr>
            <w:tcW w:w="851" w:type="dxa"/>
            <w:shd w:val="clear" w:color="auto" w:fill="FFFFFF" w:themeFill="background1"/>
            <w:vAlign w:val="center"/>
          </w:tcPr>
          <w:p w:rsidR="00FA0E13" w:rsidRPr="00CC042E" w:rsidRDefault="00FA0E13" w:rsidP="00305BAB">
            <w:pPr>
              <w:jc w:val="center"/>
              <w:rPr>
                <w:rFonts w:cs="Times New Roman"/>
                <w:sz w:val="28"/>
                <w:szCs w:val="28"/>
              </w:rPr>
            </w:pPr>
            <w:r w:rsidRPr="00CC042E">
              <w:rPr>
                <w:rFonts w:cs="Times New Roman"/>
                <w:sz w:val="28"/>
                <w:szCs w:val="28"/>
              </w:rPr>
              <w:t>3</w:t>
            </w:r>
          </w:p>
        </w:tc>
        <w:tc>
          <w:tcPr>
            <w:tcW w:w="1559"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15.7.2021</w:t>
            </w:r>
          </w:p>
        </w:tc>
        <w:tc>
          <w:tcPr>
            <w:tcW w:w="2019" w:type="dxa"/>
            <w:shd w:val="clear" w:color="auto" w:fill="FFFFFF" w:themeFill="background1"/>
            <w:vAlign w:val="center"/>
          </w:tcPr>
          <w:p w:rsidR="00FA0E13" w:rsidRPr="00CC042E" w:rsidRDefault="00FA0E13" w:rsidP="00305BAB">
            <w:pPr>
              <w:jc w:val="both"/>
              <w:rPr>
                <w:rFonts w:cs="Times New Roman"/>
                <w:sz w:val="28"/>
                <w:szCs w:val="28"/>
              </w:rPr>
            </w:pPr>
          </w:p>
          <w:p w:rsidR="00FA0E13" w:rsidRPr="00CC042E" w:rsidRDefault="00FA0E13" w:rsidP="00305BAB">
            <w:pPr>
              <w:jc w:val="both"/>
              <w:rPr>
                <w:rFonts w:cs="Times New Roman"/>
                <w:sz w:val="28"/>
                <w:szCs w:val="28"/>
              </w:rPr>
            </w:pPr>
          </w:p>
          <w:p w:rsidR="00FA0E13" w:rsidRPr="00CC042E" w:rsidRDefault="006E406C" w:rsidP="00305BAB">
            <w:pPr>
              <w:jc w:val="both"/>
              <w:rPr>
                <w:rFonts w:cs="Times New Roman"/>
                <w:sz w:val="28"/>
                <w:szCs w:val="28"/>
              </w:rPr>
            </w:pPr>
            <w:hyperlink r:id="rId14" w:tooltip="Current version of study NCT04962230 on ClinicalTrials.gov" w:history="1">
              <w:r w:rsidR="00FA0E13" w:rsidRPr="00CC042E">
                <w:rPr>
                  <w:rStyle w:val="Hyperlink"/>
                  <w:rFonts w:cs="Times New Roman"/>
                  <w:color w:val="auto"/>
                  <w:sz w:val="28"/>
                  <w:szCs w:val="28"/>
                  <w:u w:val="none"/>
                </w:rPr>
                <w:t>NCT04962230</w:t>
              </w:r>
            </w:hyperlink>
          </w:p>
          <w:p w:rsidR="00FA0E13" w:rsidRPr="00CC042E" w:rsidRDefault="00FA0E13" w:rsidP="00305BAB">
            <w:pPr>
              <w:jc w:val="both"/>
              <w:rPr>
                <w:rFonts w:cs="Times New Roman"/>
                <w:sz w:val="28"/>
                <w:szCs w:val="28"/>
              </w:rPr>
            </w:pPr>
          </w:p>
        </w:tc>
        <w:tc>
          <w:tcPr>
            <w:tcW w:w="127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Đã hoàn thành</w:t>
            </w:r>
          </w:p>
        </w:tc>
        <w:tc>
          <w:tcPr>
            <w:tcW w:w="4111" w:type="dxa"/>
            <w:shd w:val="clear" w:color="auto" w:fill="FFFFFF" w:themeFill="background1"/>
            <w:vAlign w:val="center"/>
          </w:tcPr>
          <w:p w:rsidR="00E16F6C" w:rsidRPr="00CC042E" w:rsidRDefault="00FA0E13" w:rsidP="00E4099E">
            <w:pPr>
              <w:jc w:val="both"/>
              <w:rPr>
                <w:rFonts w:cs="Times New Roman"/>
                <w:sz w:val="28"/>
                <w:szCs w:val="28"/>
              </w:rPr>
            </w:pPr>
            <w:r w:rsidRPr="00CC042E">
              <w:rPr>
                <w:rFonts w:cs="Times New Roman"/>
                <w:sz w:val="28"/>
                <w:szCs w:val="28"/>
              </w:rPr>
              <w:t>Phase 1 nhằm đánh giá ảnh hưởng Carbamazepine đến dược động học của PF-07321332/Ritonavir trên người khỏe mạnh</w:t>
            </w:r>
          </w:p>
        </w:tc>
        <w:tc>
          <w:tcPr>
            <w:tcW w:w="1666" w:type="dxa"/>
            <w:shd w:val="clear" w:color="auto" w:fill="FFFFFF" w:themeFill="background1"/>
            <w:vAlign w:val="center"/>
          </w:tcPr>
          <w:p w:rsidR="00FA0E13" w:rsidRPr="00CC042E" w:rsidRDefault="00FA0E13" w:rsidP="00E4099E">
            <w:pPr>
              <w:jc w:val="both"/>
              <w:rPr>
                <w:rFonts w:cs="Times New Roman"/>
                <w:sz w:val="28"/>
                <w:szCs w:val="28"/>
              </w:rPr>
            </w:pPr>
            <w:r w:rsidRPr="00CC042E">
              <w:rPr>
                <w:rFonts w:cs="Times New Roman"/>
                <w:sz w:val="28"/>
                <w:szCs w:val="28"/>
              </w:rPr>
              <w:t>Người bình thường, n = 12</w:t>
            </w:r>
          </w:p>
        </w:tc>
      </w:tr>
      <w:tr w:rsidR="00305BAB" w:rsidRPr="00CC042E" w:rsidTr="00E16F6C">
        <w:tc>
          <w:tcPr>
            <w:tcW w:w="851" w:type="dxa"/>
            <w:shd w:val="clear" w:color="auto" w:fill="FFFFFF" w:themeFill="background1"/>
            <w:vAlign w:val="center"/>
          </w:tcPr>
          <w:p w:rsidR="00FA0E13" w:rsidRPr="00CC042E" w:rsidRDefault="00FA0E13" w:rsidP="00E16F6C">
            <w:pPr>
              <w:jc w:val="center"/>
              <w:rPr>
                <w:rFonts w:cs="Times New Roman"/>
                <w:sz w:val="28"/>
                <w:szCs w:val="28"/>
              </w:rPr>
            </w:pPr>
            <w:r w:rsidRPr="00CC042E">
              <w:rPr>
                <w:rFonts w:cs="Times New Roman"/>
                <w:sz w:val="28"/>
                <w:szCs w:val="28"/>
              </w:rPr>
              <w:t>4</w:t>
            </w:r>
          </w:p>
        </w:tc>
        <w:tc>
          <w:tcPr>
            <w:tcW w:w="1559" w:type="dxa"/>
            <w:shd w:val="clear" w:color="auto" w:fill="FFFFFF" w:themeFill="background1"/>
            <w:vAlign w:val="center"/>
          </w:tcPr>
          <w:p w:rsidR="00FA0E13" w:rsidRPr="00CC042E" w:rsidRDefault="00FA0E13" w:rsidP="00E16F6C">
            <w:pPr>
              <w:jc w:val="center"/>
              <w:rPr>
                <w:rFonts w:cs="Times New Roman"/>
                <w:sz w:val="28"/>
                <w:szCs w:val="28"/>
              </w:rPr>
            </w:pPr>
            <w:r w:rsidRPr="00CC042E">
              <w:rPr>
                <w:rFonts w:cs="Times New Roman"/>
                <w:sz w:val="28"/>
                <w:szCs w:val="28"/>
              </w:rPr>
              <w:t>15.6.2021</w:t>
            </w:r>
          </w:p>
        </w:tc>
        <w:tc>
          <w:tcPr>
            <w:tcW w:w="2019" w:type="dxa"/>
            <w:shd w:val="clear" w:color="auto" w:fill="FFFFFF" w:themeFill="background1"/>
            <w:vAlign w:val="center"/>
          </w:tcPr>
          <w:p w:rsidR="00FA0E13" w:rsidRPr="00CC042E" w:rsidRDefault="00FA0E13" w:rsidP="00305BAB">
            <w:pPr>
              <w:jc w:val="both"/>
              <w:rPr>
                <w:rFonts w:cs="Times New Roman"/>
                <w:sz w:val="28"/>
                <w:szCs w:val="28"/>
              </w:rPr>
            </w:pPr>
          </w:p>
          <w:p w:rsidR="00FA0E13" w:rsidRPr="00CC042E" w:rsidRDefault="00FA0E13" w:rsidP="00305BAB">
            <w:pPr>
              <w:jc w:val="both"/>
              <w:rPr>
                <w:rFonts w:cs="Times New Roman"/>
                <w:sz w:val="28"/>
                <w:szCs w:val="28"/>
              </w:rPr>
            </w:pPr>
          </w:p>
          <w:p w:rsidR="00FA0E13" w:rsidRPr="00CC042E" w:rsidRDefault="006E406C" w:rsidP="00305BAB">
            <w:pPr>
              <w:jc w:val="both"/>
              <w:rPr>
                <w:rFonts w:cs="Times New Roman"/>
                <w:sz w:val="28"/>
                <w:szCs w:val="28"/>
              </w:rPr>
            </w:pPr>
            <w:hyperlink r:id="rId15" w:tooltip="Current version of study NCT04909853 on ClinicalTrials.gov" w:history="1">
              <w:r w:rsidR="00FA0E13" w:rsidRPr="00CC042E">
                <w:rPr>
                  <w:rStyle w:val="Hyperlink"/>
                  <w:rFonts w:cs="Times New Roman"/>
                  <w:color w:val="auto"/>
                  <w:sz w:val="28"/>
                  <w:szCs w:val="28"/>
                  <w:u w:val="none"/>
                </w:rPr>
                <w:t>NCT04909853</w:t>
              </w:r>
            </w:hyperlink>
          </w:p>
          <w:p w:rsidR="00FA0E13" w:rsidRPr="00CC042E" w:rsidRDefault="00FA0E13" w:rsidP="00305BAB">
            <w:pPr>
              <w:jc w:val="both"/>
              <w:rPr>
                <w:rFonts w:cs="Times New Roman"/>
                <w:sz w:val="28"/>
                <w:szCs w:val="28"/>
              </w:rPr>
            </w:pPr>
          </w:p>
        </w:tc>
        <w:tc>
          <w:tcPr>
            <w:tcW w:w="127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Đã hoàn thành</w:t>
            </w:r>
          </w:p>
        </w:tc>
        <w:tc>
          <w:tcPr>
            <w:tcW w:w="4111"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Phase 1 nhằm đánh giá dược động học, an toàn và khả năng dung nạp của PF-07321332/Ritonavir trên đối tượng bệnh nhân suy thận.</w:t>
            </w:r>
          </w:p>
        </w:tc>
        <w:tc>
          <w:tcPr>
            <w:tcW w:w="166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Người suy thận, n = 35</w:t>
            </w:r>
          </w:p>
        </w:tc>
      </w:tr>
      <w:tr w:rsidR="00305BAB" w:rsidRPr="00CC042E" w:rsidTr="00305BAB">
        <w:tc>
          <w:tcPr>
            <w:tcW w:w="851" w:type="dxa"/>
            <w:shd w:val="clear" w:color="auto" w:fill="FFFFFF" w:themeFill="background1"/>
            <w:vAlign w:val="center"/>
          </w:tcPr>
          <w:p w:rsidR="00FA0E13" w:rsidRPr="00CC042E" w:rsidRDefault="00FA0E13" w:rsidP="00305BAB">
            <w:pPr>
              <w:jc w:val="center"/>
              <w:rPr>
                <w:rFonts w:cs="Times New Roman"/>
                <w:sz w:val="28"/>
                <w:szCs w:val="28"/>
              </w:rPr>
            </w:pPr>
            <w:r w:rsidRPr="00CC042E">
              <w:rPr>
                <w:rFonts w:cs="Times New Roman"/>
                <w:sz w:val="28"/>
                <w:szCs w:val="28"/>
              </w:rPr>
              <w:t>5</w:t>
            </w:r>
          </w:p>
        </w:tc>
        <w:tc>
          <w:tcPr>
            <w:tcW w:w="1559"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16.07.2021</w:t>
            </w:r>
          </w:p>
          <w:p w:rsidR="00FA0E13" w:rsidRPr="00CC042E" w:rsidRDefault="00FA0E13" w:rsidP="00305BAB">
            <w:pPr>
              <w:jc w:val="both"/>
              <w:rPr>
                <w:rFonts w:cs="Times New Roman"/>
                <w:sz w:val="28"/>
                <w:szCs w:val="28"/>
              </w:rPr>
            </w:pPr>
          </w:p>
        </w:tc>
        <w:tc>
          <w:tcPr>
            <w:tcW w:w="2019"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NCT04960202</w:t>
            </w:r>
          </w:p>
        </w:tc>
        <w:tc>
          <w:tcPr>
            <w:tcW w:w="127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Đang tiến hành</w:t>
            </w:r>
          </w:p>
        </w:tc>
        <w:tc>
          <w:tcPr>
            <w:tcW w:w="4111"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Phase 2/3, ngẫu nhiên, mù đôi trên bệnh nhân trưởng thành nhiễm COVID-19 không nhập viện, có nguy cơ trở bệnh nặng cao (EPIC-HR)</w:t>
            </w:r>
          </w:p>
        </w:tc>
        <w:tc>
          <w:tcPr>
            <w:tcW w:w="166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Người bị nhiễm Covid-19, n = 3000</w:t>
            </w:r>
          </w:p>
          <w:p w:rsidR="00FA0E13" w:rsidRPr="00CC042E" w:rsidRDefault="00FA0E13" w:rsidP="00305BAB">
            <w:pPr>
              <w:jc w:val="both"/>
              <w:rPr>
                <w:rFonts w:cs="Times New Roman"/>
                <w:sz w:val="28"/>
                <w:szCs w:val="28"/>
              </w:rPr>
            </w:pPr>
          </w:p>
        </w:tc>
      </w:tr>
      <w:tr w:rsidR="00305BAB" w:rsidRPr="00CC042E" w:rsidTr="00305BAB">
        <w:tc>
          <w:tcPr>
            <w:tcW w:w="851" w:type="dxa"/>
            <w:shd w:val="clear" w:color="auto" w:fill="FFFFFF" w:themeFill="background1"/>
            <w:vAlign w:val="center"/>
          </w:tcPr>
          <w:p w:rsidR="00FA0E13" w:rsidRPr="00CC042E" w:rsidRDefault="00FA0E13" w:rsidP="00305BAB">
            <w:pPr>
              <w:jc w:val="center"/>
              <w:rPr>
                <w:rFonts w:cs="Times New Roman"/>
                <w:sz w:val="28"/>
                <w:szCs w:val="28"/>
              </w:rPr>
            </w:pPr>
            <w:r w:rsidRPr="00CC042E">
              <w:rPr>
                <w:rFonts w:cs="Times New Roman"/>
                <w:sz w:val="28"/>
                <w:szCs w:val="28"/>
              </w:rPr>
              <w:t>6</w:t>
            </w:r>
          </w:p>
        </w:tc>
        <w:tc>
          <w:tcPr>
            <w:tcW w:w="1559"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25.8.2021</w:t>
            </w:r>
          </w:p>
        </w:tc>
        <w:tc>
          <w:tcPr>
            <w:tcW w:w="2019" w:type="dxa"/>
            <w:shd w:val="clear" w:color="auto" w:fill="FFFFFF" w:themeFill="background1"/>
            <w:vAlign w:val="center"/>
          </w:tcPr>
          <w:p w:rsidR="00FA0E13" w:rsidRPr="00CC042E" w:rsidRDefault="006E406C" w:rsidP="00305BAB">
            <w:pPr>
              <w:jc w:val="both"/>
              <w:rPr>
                <w:rFonts w:cs="Times New Roman"/>
                <w:sz w:val="28"/>
                <w:szCs w:val="28"/>
              </w:rPr>
            </w:pPr>
            <w:hyperlink r:id="rId16" w:tooltip="Current version of study NCT05011513 on ClinicalTrials.gov" w:history="1">
              <w:r w:rsidR="00FA0E13" w:rsidRPr="00CC042E">
                <w:rPr>
                  <w:rStyle w:val="Hyperlink"/>
                  <w:rFonts w:cs="Times New Roman"/>
                  <w:color w:val="auto"/>
                  <w:sz w:val="28"/>
                  <w:szCs w:val="28"/>
                  <w:u w:val="none"/>
                </w:rPr>
                <w:t>NCT05011513</w:t>
              </w:r>
            </w:hyperlink>
          </w:p>
        </w:tc>
        <w:tc>
          <w:tcPr>
            <w:tcW w:w="127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Đang tiến hành</w:t>
            </w:r>
          </w:p>
        </w:tc>
        <w:tc>
          <w:tcPr>
            <w:tcW w:w="4111"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Phase 2/3, đánh giá hiệu quả và độ an toàn của PF-07321332/ RITONAVIR so với giả dược ở bệnh nhân nhiễm COVID-19 với nguy cơ nhập viện và tử vong thấp (EPIC-SR)</w:t>
            </w:r>
          </w:p>
        </w:tc>
        <w:tc>
          <w:tcPr>
            <w:tcW w:w="166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Người bị nhiễm Covid-19, n = 1140</w:t>
            </w:r>
          </w:p>
          <w:p w:rsidR="00FA0E13" w:rsidRPr="00CC042E" w:rsidRDefault="00FA0E13" w:rsidP="00305BAB">
            <w:pPr>
              <w:jc w:val="both"/>
              <w:rPr>
                <w:rFonts w:cs="Times New Roman"/>
                <w:sz w:val="28"/>
                <w:szCs w:val="28"/>
              </w:rPr>
            </w:pPr>
          </w:p>
        </w:tc>
      </w:tr>
      <w:tr w:rsidR="00305BAB" w:rsidRPr="00CC042E" w:rsidTr="00305BAB">
        <w:tc>
          <w:tcPr>
            <w:tcW w:w="851" w:type="dxa"/>
            <w:shd w:val="clear" w:color="auto" w:fill="FFFFFF" w:themeFill="background1"/>
            <w:vAlign w:val="center"/>
          </w:tcPr>
          <w:p w:rsidR="00FA0E13" w:rsidRPr="00CC042E" w:rsidRDefault="00FA0E13" w:rsidP="00305BAB">
            <w:pPr>
              <w:jc w:val="center"/>
              <w:rPr>
                <w:rFonts w:cs="Times New Roman"/>
                <w:sz w:val="28"/>
                <w:szCs w:val="28"/>
              </w:rPr>
            </w:pPr>
            <w:r w:rsidRPr="00CC042E">
              <w:rPr>
                <w:rFonts w:cs="Times New Roman"/>
                <w:sz w:val="28"/>
                <w:szCs w:val="28"/>
              </w:rPr>
              <w:t>7</w:t>
            </w:r>
          </w:p>
        </w:tc>
        <w:tc>
          <w:tcPr>
            <w:tcW w:w="1559"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9.9.2021</w:t>
            </w:r>
          </w:p>
        </w:tc>
        <w:tc>
          <w:tcPr>
            <w:tcW w:w="2019"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NCT05047601</w:t>
            </w:r>
          </w:p>
        </w:tc>
        <w:tc>
          <w:tcPr>
            <w:tcW w:w="127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Đang tiến hành</w:t>
            </w:r>
          </w:p>
          <w:p w:rsidR="00FA0E13" w:rsidRPr="00CC042E" w:rsidRDefault="00FA0E13" w:rsidP="00305BAB">
            <w:pPr>
              <w:jc w:val="both"/>
              <w:rPr>
                <w:rFonts w:cs="Times New Roman"/>
                <w:sz w:val="28"/>
                <w:szCs w:val="28"/>
              </w:rPr>
            </w:pPr>
          </w:p>
          <w:p w:rsidR="00FA0E13" w:rsidRPr="00CC042E" w:rsidRDefault="00FA0E13" w:rsidP="00305BAB">
            <w:pPr>
              <w:jc w:val="both"/>
              <w:rPr>
                <w:rFonts w:cs="Times New Roman"/>
                <w:sz w:val="28"/>
                <w:szCs w:val="28"/>
              </w:rPr>
            </w:pPr>
          </w:p>
        </w:tc>
        <w:tc>
          <w:tcPr>
            <w:tcW w:w="4111"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Phase 2/3, đánh giá hiệu quả PF-07321332/RITONAVIR  trên người khỏe mạnh từ 18 tuổi trở lên và sống trong cùng một hộ gia đình với một cá nhân đã xác định bị nhiễm SARS-CoV-2. (EPIC-PEP)</w:t>
            </w:r>
          </w:p>
        </w:tc>
        <w:tc>
          <w:tcPr>
            <w:tcW w:w="166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Người bị nhiễm Covid-19, n = 2634</w:t>
            </w:r>
          </w:p>
        </w:tc>
      </w:tr>
      <w:tr w:rsidR="00305BAB" w:rsidRPr="00CC042E" w:rsidTr="00305BAB">
        <w:tc>
          <w:tcPr>
            <w:tcW w:w="851" w:type="dxa"/>
            <w:shd w:val="clear" w:color="auto" w:fill="FFFFFF" w:themeFill="background1"/>
            <w:vAlign w:val="center"/>
          </w:tcPr>
          <w:p w:rsidR="00FA0E13" w:rsidRPr="00CC042E" w:rsidRDefault="00FA0E13" w:rsidP="00305BAB">
            <w:pPr>
              <w:jc w:val="center"/>
              <w:rPr>
                <w:rFonts w:cs="Times New Roman"/>
                <w:sz w:val="28"/>
                <w:szCs w:val="28"/>
              </w:rPr>
            </w:pPr>
            <w:r w:rsidRPr="00CC042E">
              <w:rPr>
                <w:rFonts w:cs="Times New Roman"/>
                <w:sz w:val="28"/>
                <w:szCs w:val="28"/>
              </w:rPr>
              <w:t>8</w:t>
            </w:r>
          </w:p>
        </w:tc>
        <w:tc>
          <w:tcPr>
            <w:tcW w:w="1559"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17.9.2021</w:t>
            </w:r>
          </w:p>
        </w:tc>
        <w:tc>
          <w:tcPr>
            <w:tcW w:w="2019"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NCT05032950</w:t>
            </w:r>
          </w:p>
        </w:tc>
        <w:tc>
          <w:tcPr>
            <w:tcW w:w="127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Đang tiến hành</w:t>
            </w:r>
          </w:p>
        </w:tc>
        <w:tc>
          <w:tcPr>
            <w:tcW w:w="4111"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Phase 1 nhằm đánh giá tác dụng của PF-07321332 / ritonavir và ritonavir trên dược động học của midazolam ở những người tham gia khỏe mạnh.</w:t>
            </w:r>
          </w:p>
        </w:tc>
        <w:tc>
          <w:tcPr>
            <w:tcW w:w="166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Người bình thường, n = 12</w:t>
            </w:r>
          </w:p>
        </w:tc>
      </w:tr>
      <w:tr w:rsidR="00305BAB" w:rsidRPr="00CC042E" w:rsidTr="00305BAB">
        <w:tc>
          <w:tcPr>
            <w:tcW w:w="851" w:type="dxa"/>
            <w:shd w:val="clear" w:color="auto" w:fill="FFFFFF" w:themeFill="background1"/>
            <w:vAlign w:val="center"/>
          </w:tcPr>
          <w:p w:rsidR="00FA0E13" w:rsidRPr="00CC042E" w:rsidRDefault="00FA0E13" w:rsidP="00305BAB">
            <w:pPr>
              <w:jc w:val="center"/>
              <w:rPr>
                <w:rFonts w:cs="Times New Roman"/>
                <w:sz w:val="28"/>
                <w:szCs w:val="28"/>
              </w:rPr>
            </w:pPr>
            <w:r w:rsidRPr="00CC042E">
              <w:rPr>
                <w:rFonts w:cs="Times New Roman"/>
                <w:sz w:val="28"/>
                <w:szCs w:val="28"/>
              </w:rPr>
              <w:t>9</w:t>
            </w:r>
          </w:p>
        </w:tc>
        <w:tc>
          <w:tcPr>
            <w:tcW w:w="1559"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31.8.2021</w:t>
            </w:r>
          </w:p>
        </w:tc>
        <w:tc>
          <w:tcPr>
            <w:tcW w:w="2019" w:type="dxa"/>
            <w:shd w:val="clear" w:color="auto" w:fill="FFFFFF" w:themeFill="background1"/>
            <w:vAlign w:val="center"/>
          </w:tcPr>
          <w:p w:rsidR="00FA0E13" w:rsidRPr="00CC042E" w:rsidRDefault="006E406C" w:rsidP="00305BAB">
            <w:pPr>
              <w:jc w:val="both"/>
              <w:rPr>
                <w:rFonts w:cs="Times New Roman"/>
                <w:sz w:val="28"/>
                <w:szCs w:val="28"/>
              </w:rPr>
            </w:pPr>
            <w:hyperlink r:id="rId17" w:tooltip="Current version of study NCT05005312 on ClinicalTrials.gov" w:history="1">
              <w:r w:rsidR="00FA0E13" w:rsidRPr="00CC042E">
                <w:rPr>
                  <w:rStyle w:val="Hyperlink"/>
                  <w:rFonts w:cs="Times New Roman"/>
                  <w:color w:val="auto"/>
                  <w:sz w:val="28"/>
                  <w:szCs w:val="28"/>
                  <w:u w:val="none"/>
                </w:rPr>
                <w:t>NCT05005312</w:t>
              </w:r>
            </w:hyperlink>
          </w:p>
        </w:tc>
        <w:tc>
          <w:tcPr>
            <w:tcW w:w="127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Đang tiến hành</w:t>
            </w:r>
          </w:p>
        </w:tc>
        <w:tc>
          <w:tcPr>
            <w:tcW w:w="4111"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 xml:space="preserve">Phase 1, đánh giá dược động học, an toàn và khả năng dung nạp của PF-07321332 với Ritonavir trên đối tượng người lớn có chức năng gan bình thường và suy gan trung </w:t>
            </w:r>
            <w:r w:rsidRPr="00CC042E">
              <w:rPr>
                <w:rFonts w:cs="Times New Roman"/>
                <w:sz w:val="28"/>
                <w:szCs w:val="28"/>
              </w:rPr>
              <w:lastRenderedPageBreak/>
              <w:t>bình</w:t>
            </w:r>
          </w:p>
        </w:tc>
        <w:tc>
          <w:tcPr>
            <w:tcW w:w="166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lastRenderedPageBreak/>
              <w:t>Người suy gan, n = 16</w:t>
            </w:r>
          </w:p>
        </w:tc>
      </w:tr>
      <w:tr w:rsidR="00305BAB" w:rsidRPr="00CC042E" w:rsidTr="00305BAB">
        <w:tc>
          <w:tcPr>
            <w:tcW w:w="851" w:type="dxa"/>
            <w:shd w:val="clear" w:color="auto" w:fill="FFFFFF" w:themeFill="background1"/>
            <w:vAlign w:val="center"/>
          </w:tcPr>
          <w:p w:rsidR="00FA0E13" w:rsidRPr="00CC042E" w:rsidRDefault="00FA0E13" w:rsidP="00305BAB">
            <w:pPr>
              <w:jc w:val="center"/>
              <w:rPr>
                <w:rFonts w:cs="Times New Roman"/>
                <w:sz w:val="28"/>
                <w:szCs w:val="28"/>
              </w:rPr>
            </w:pPr>
            <w:r w:rsidRPr="00CC042E">
              <w:rPr>
                <w:rFonts w:cs="Times New Roman"/>
                <w:sz w:val="28"/>
                <w:szCs w:val="28"/>
              </w:rPr>
              <w:lastRenderedPageBreak/>
              <w:t>10</w:t>
            </w:r>
          </w:p>
        </w:tc>
        <w:tc>
          <w:tcPr>
            <w:tcW w:w="1559"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21.9.2021</w:t>
            </w:r>
          </w:p>
          <w:p w:rsidR="00FA0E13" w:rsidRPr="00CC042E" w:rsidRDefault="00FA0E13" w:rsidP="00305BAB">
            <w:pPr>
              <w:jc w:val="both"/>
              <w:rPr>
                <w:rFonts w:cs="Times New Roman"/>
                <w:sz w:val="28"/>
                <w:szCs w:val="28"/>
              </w:rPr>
            </w:pPr>
          </w:p>
        </w:tc>
        <w:tc>
          <w:tcPr>
            <w:tcW w:w="2019" w:type="dxa"/>
            <w:shd w:val="clear" w:color="auto" w:fill="FFFFFF" w:themeFill="background1"/>
            <w:vAlign w:val="center"/>
          </w:tcPr>
          <w:p w:rsidR="00FA0E13" w:rsidRPr="00CC042E" w:rsidRDefault="006E406C" w:rsidP="00305BAB">
            <w:pPr>
              <w:jc w:val="both"/>
              <w:rPr>
                <w:rFonts w:cs="Times New Roman"/>
                <w:sz w:val="28"/>
                <w:szCs w:val="28"/>
              </w:rPr>
            </w:pPr>
            <w:hyperlink r:id="rId18" w:tooltip="Current version of study NCT05064800 on ClinicalTrials.gov" w:history="1">
              <w:r w:rsidR="00FA0E13" w:rsidRPr="00CC042E">
                <w:rPr>
                  <w:rStyle w:val="Hyperlink"/>
                  <w:rFonts w:cs="Times New Roman"/>
                  <w:color w:val="auto"/>
                  <w:sz w:val="28"/>
                  <w:szCs w:val="28"/>
                  <w:u w:val="none"/>
                </w:rPr>
                <w:t>NCT05064800</w:t>
              </w:r>
            </w:hyperlink>
          </w:p>
        </w:tc>
        <w:tc>
          <w:tcPr>
            <w:tcW w:w="127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Đang tiến hành</w:t>
            </w:r>
          </w:p>
        </w:tc>
        <w:tc>
          <w:tcPr>
            <w:tcW w:w="4111"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Phase 1 nhằm đánh giá ảnh hưởng của PF-07321332/Ritonavir và Ritonavir lên dược động học của Dabigatran trên người khỏe mạnh</w:t>
            </w:r>
          </w:p>
        </w:tc>
        <w:tc>
          <w:tcPr>
            <w:tcW w:w="1666" w:type="dxa"/>
            <w:shd w:val="clear" w:color="auto" w:fill="FFFFFF" w:themeFill="background1"/>
            <w:vAlign w:val="center"/>
          </w:tcPr>
          <w:p w:rsidR="00FA0E13" w:rsidRPr="00CC042E" w:rsidRDefault="00FA0E13" w:rsidP="00305BAB">
            <w:pPr>
              <w:jc w:val="both"/>
              <w:rPr>
                <w:rFonts w:cs="Times New Roman"/>
                <w:sz w:val="28"/>
                <w:szCs w:val="28"/>
              </w:rPr>
            </w:pPr>
            <w:r w:rsidRPr="00CC042E">
              <w:rPr>
                <w:rFonts w:cs="Times New Roman"/>
                <w:sz w:val="28"/>
                <w:szCs w:val="28"/>
              </w:rPr>
              <w:t>Người bình thường, n = 24</w:t>
            </w:r>
          </w:p>
          <w:p w:rsidR="00FA0E13" w:rsidRPr="00CC042E" w:rsidRDefault="00FA0E13" w:rsidP="00305BAB">
            <w:pPr>
              <w:jc w:val="both"/>
              <w:rPr>
                <w:rFonts w:cs="Times New Roman"/>
                <w:sz w:val="28"/>
                <w:szCs w:val="28"/>
              </w:rPr>
            </w:pPr>
          </w:p>
        </w:tc>
      </w:tr>
    </w:tbl>
    <w:p w:rsidR="00EC0E8F" w:rsidRPr="00CC042E" w:rsidRDefault="00EC0E8F" w:rsidP="00305BAB">
      <w:pPr>
        <w:jc w:val="both"/>
        <w:rPr>
          <w:rFonts w:cs="Times New Roman"/>
          <w:sz w:val="28"/>
          <w:szCs w:val="28"/>
        </w:rPr>
      </w:pPr>
    </w:p>
    <w:p w:rsidR="00AA0F2D" w:rsidRDefault="00FF7712" w:rsidP="00C93C86">
      <w:pPr>
        <w:pStyle w:val="ListParagraph"/>
        <w:numPr>
          <w:ilvl w:val="0"/>
          <w:numId w:val="16"/>
        </w:numPr>
        <w:jc w:val="both"/>
        <w:rPr>
          <w:rFonts w:cs="Times New Roman"/>
          <w:b/>
          <w:sz w:val="28"/>
          <w:szCs w:val="28"/>
        </w:rPr>
      </w:pPr>
      <w:r w:rsidRPr="00CC042E">
        <w:rPr>
          <w:rFonts w:cs="Times New Roman"/>
          <w:b/>
          <w:sz w:val="28"/>
          <w:szCs w:val="28"/>
        </w:rPr>
        <w:t>Bàn luận</w:t>
      </w:r>
    </w:p>
    <w:p w:rsidR="002C72CD" w:rsidRDefault="00533D7A" w:rsidP="00820A72">
      <w:pPr>
        <w:ind w:firstLine="720"/>
        <w:contextualSpacing/>
        <w:jc w:val="both"/>
        <w:rPr>
          <w:rFonts w:cs="Times New Roman"/>
          <w:sz w:val="28"/>
          <w:szCs w:val="28"/>
        </w:rPr>
      </w:pPr>
      <w:r>
        <w:rPr>
          <w:rFonts w:cs="Times New Roman"/>
          <w:sz w:val="28"/>
          <w:szCs w:val="28"/>
        </w:rPr>
        <w:t>T</w:t>
      </w:r>
      <w:r w:rsidR="00FD08BA">
        <w:rPr>
          <w:rFonts w:cs="Times New Roman"/>
          <w:sz w:val="28"/>
          <w:szCs w:val="28"/>
        </w:rPr>
        <w:t xml:space="preserve">huốc </w:t>
      </w:r>
      <w:r w:rsidR="00FD08BA" w:rsidRPr="00CC042E">
        <w:rPr>
          <w:rFonts w:cs="Times New Roman"/>
          <w:sz w:val="28"/>
          <w:szCs w:val="28"/>
          <w:shd w:val="clear" w:color="auto" w:fill="FFFFFF"/>
        </w:rPr>
        <w:t>Paxlovid</w:t>
      </w:r>
      <w:r w:rsidR="00FD08BA">
        <w:rPr>
          <w:rFonts w:cs="Times New Roman"/>
          <w:sz w:val="28"/>
          <w:szCs w:val="28"/>
          <w:shd w:val="clear" w:color="auto" w:fill="FFFFFF"/>
        </w:rPr>
        <w:t xml:space="preserve"> gồm h</w:t>
      </w:r>
      <w:r w:rsidR="00FD08BA" w:rsidRPr="00CC042E">
        <w:rPr>
          <w:rFonts w:cs="Times New Roman"/>
          <w:sz w:val="28"/>
          <w:szCs w:val="28"/>
          <w:shd w:val="clear" w:color="auto" w:fill="FFFFFF"/>
        </w:rPr>
        <w:t xml:space="preserve">oạt chất </w:t>
      </w:r>
      <w:r w:rsidR="00FD08BA" w:rsidRPr="00CC042E">
        <w:rPr>
          <w:rFonts w:cs="Times New Roman"/>
          <w:sz w:val="28"/>
          <w:szCs w:val="28"/>
        </w:rPr>
        <w:t xml:space="preserve">PF-07321332 kết hợp </w:t>
      </w:r>
      <w:r w:rsidR="00FD08BA" w:rsidRPr="00CC042E">
        <w:rPr>
          <w:rFonts w:cs="Times New Roman"/>
          <w:sz w:val="28"/>
          <w:szCs w:val="28"/>
          <w:shd w:val="clear" w:color="auto" w:fill="FFFFFF"/>
        </w:rPr>
        <w:t>vớ</w:t>
      </w:r>
      <w:r w:rsidR="00FD08BA">
        <w:rPr>
          <w:rFonts w:cs="Times New Roman"/>
          <w:sz w:val="28"/>
          <w:szCs w:val="28"/>
          <w:shd w:val="clear" w:color="auto" w:fill="FFFFFF"/>
        </w:rPr>
        <w:t xml:space="preserve">i liều thấp </w:t>
      </w:r>
      <w:r w:rsidR="00FD08BA" w:rsidRPr="00CC042E">
        <w:rPr>
          <w:rFonts w:cs="Times New Roman"/>
          <w:sz w:val="28"/>
          <w:szCs w:val="28"/>
          <w:shd w:val="clear" w:color="auto" w:fill="FFFFFF"/>
        </w:rPr>
        <w:t>Ritonavir</w:t>
      </w:r>
      <w:r w:rsidR="00FD08BA">
        <w:rPr>
          <w:rFonts w:cs="Times New Roman"/>
          <w:sz w:val="28"/>
          <w:szCs w:val="28"/>
          <w:shd w:val="clear" w:color="auto" w:fill="FFFFFF"/>
        </w:rPr>
        <w:t>.</w:t>
      </w:r>
      <w:r w:rsidR="00B76A27">
        <w:rPr>
          <w:rFonts w:cs="Times New Roman"/>
          <w:sz w:val="28"/>
          <w:szCs w:val="28"/>
          <w:shd w:val="clear" w:color="auto" w:fill="FFFFFF"/>
        </w:rPr>
        <w:t xml:space="preserve"> </w:t>
      </w:r>
      <w:r w:rsidR="00B76A27" w:rsidRPr="00FF6CDA">
        <w:rPr>
          <w:rFonts w:cs="Times New Roman"/>
          <w:sz w:val="28"/>
          <w:szCs w:val="28"/>
          <w:shd w:val="clear" w:color="auto" w:fill="FFFFFF"/>
        </w:rPr>
        <w:t xml:space="preserve">PF-07321332 là một chất ức chế </w:t>
      </w:r>
      <w:r w:rsidR="00B76A27">
        <w:rPr>
          <w:rFonts w:cs="Times New Roman"/>
          <w:sz w:val="28"/>
          <w:szCs w:val="28"/>
          <w:shd w:val="clear" w:color="auto" w:fill="FFFFFF"/>
        </w:rPr>
        <w:t xml:space="preserve">enzym protease </w:t>
      </w:r>
      <w:r w:rsidR="00B76A27" w:rsidRPr="00FF6CDA">
        <w:rPr>
          <w:rFonts w:cs="Times New Roman"/>
          <w:sz w:val="28"/>
          <w:szCs w:val="28"/>
          <w:shd w:val="clear" w:color="auto" w:fill="FFFFFF"/>
        </w:rPr>
        <w:t>3CL</w:t>
      </w:r>
      <w:r w:rsidR="00B76A27">
        <w:rPr>
          <w:rFonts w:cs="Times New Roman"/>
          <w:sz w:val="28"/>
          <w:szCs w:val="28"/>
          <w:shd w:val="clear" w:color="auto" w:fill="FFFFFF"/>
          <w:vertAlign w:val="superscript"/>
        </w:rPr>
        <w:t>pro</w:t>
      </w:r>
      <w:r w:rsidR="00B76A27">
        <w:rPr>
          <w:rFonts w:cs="Times New Roman"/>
          <w:sz w:val="28"/>
          <w:szCs w:val="28"/>
          <w:shd w:val="clear" w:color="auto" w:fill="FFFFFF"/>
        </w:rPr>
        <w:t xml:space="preserve"> kháng virus SARS-CoV-2</w:t>
      </w:r>
      <w:r w:rsidR="00B76A27" w:rsidRPr="00FF6CDA">
        <w:rPr>
          <w:rFonts w:cs="Times New Roman"/>
          <w:sz w:val="28"/>
          <w:szCs w:val="28"/>
          <w:shd w:val="clear" w:color="auto" w:fill="FFFFFF"/>
        </w:rPr>
        <w:t xml:space="preserve"> đường uống, có </w:t>
      </w:r>
      <w:r w:rsidR="00B76A27">
        <w:rPr>
          <w:rFonts w:cs="Times New Roman"/>
          <w:sz w:val="28"/>
          <w:szCs w:val="28"/>
          <w:shd w:val="clear" w:color="auto" w:fill="FFFFFF"/>
        </w:rPr>
        <w:t>kết quả</w:t>
      </w:r>
      <w:r w:rsidR="00B76A27" w:rsidRPr="00FF6CDA">
        <w:rPr>
          <w:rFonts w:cs="Times New Roman"/>
          <w:sz w:val="28"/>
          <w:szCs w:val="28"/>
          <w:shd w:val="clear" w:color="auto" w:fill="FFFFFF"/>
        </w:rPr>
        <w:t xml:space="preserve"> tiề</w:t>
      </w:r>
      <w:r w:rsidR="00B76A27">
        <w:rPr>
          <w:rFonts w:cs="Times New Roman"/>
          <w:sz w:val="28"/>
          <w:szCs w:val="28"/>
          <w:shd w:val="clear" w:color="auto" w:fill="FFFFFF"/>
        </w:rPr>
        <w:t>n lâm sàng tích cực</w:t>
      </w:r>
      <w:r w:rsidR="00B76A27" w:rsidRPr="00FF6CDA">
        <w:rPr>
          <w:rFonts w:cs="Times New Roman"/>
          <w:sz w:val="28"/>
          <w:szCs w:val="28"/>
          <w:shd w:val="clear" w:color="auto" w:fill="FFFFFF"/>
        </w:rPr>
        <w:t xml:space="preserve"> bao gồm khả năng kháng virus SARS-CoV-2 mạnh </w:t>
      </w:r>
      <w:r w:rsidR="002E611E">
        <w:rPr>
          <w:rFonts w:cs="Times New Roman"/>
          <w:sz w:val="28"/>
          <w:szCs w:val="28"/>
          <w:shd w:val="clear" w:color="auto" w:fill="FFFFFF"/>
        </w:rPr>
        <w:t xml:space="preserve">mẽ </w:t>
      </w:r>
      <w:r w:rsidR="00B76A27" w:rsidRPr="00FF6CDA">
        <w:rPr>
          <w:rFonts w:cs="Times New Roman"/>
          <w:sz w:val="28"/>
          <w:szCs w:val="28"/>
          <w:shd w:val="clear" w:color="auto" w:fill="FFFFFF"/>
        </w:rPr>
        <w:t xml:space="preserve">trong ống nghiệm và </w:t>
      </w:r>
      <w:r w:rsidR="00B76A27">
        <w:rPr>
          <w:rFonts w:cs="Times New Roman"/>
          <w:sz w:val="28"/>
          <w:szCs w:val="28"/>
          <w:shd w:val="clear" w:color="auto" w:fill="FFFFFF"/>
        </w:rPr>
        <w:t>phổ kháng virus rộng trên</w:t>
      </w:r>
      <w:r w:rsidR="00B76A27" w:rsidRPr="00FF6CDA">
        <w:rPr>
          <w:rFonts w:cs="Times New Roman"/>
          <w:sz w:val="28"/>
          <w:szCs w:val="28"/>
          <w:shd w:val="clear" w:color="auto" w:fill="FFFFFF"/>
        </w:rPr>
        <w:t xml:space="preserve"> </w:t>
      </w:r>
      <w:r w:rsidR="00303EAE">
        <w:rPr>
          <w:rFonts w:cs="Times New Roman"/>
          <w:sz w:val="28"/>
          <w:szCs w:val="28"/>
          <w:shd w:val="clear" w:color="auto" w:fill="FFFFFF"/>
        </w:rPr>
        <w:t xml:space="preserve">họ </w:t>
      </w:r>
      <w:r w:rsidR="00B76A27" w:rsidRPr="00FF6CDA">
        <w:rPr>
          <w:rFonts w:cs="Times New Roman"/>
          <w:sz w:val="28"/>
          <w:szCs w:val="28"/>
          <w:shd w:val="clear" w:color="auto" w:fill="FFFFFF"/>
        </w:rPr>
        <w:t>coronavirus.</w:t>
      </w:r>
      <w:r w:rsidR="00B76A27">
        <w:rPr>
          <w:rFonts w:cs="Times New Roman"/>
          <w:sz w:val="28"/>
          <w:szCs w:val="28"/>
          <w:shd w:val="clear" w:color="auto" w:fill="FFFFFF"/>
        </w:rPr>
        <w:t xml:space="preserve"> </w:t>
      </w:r>
      <w:r w:rsidR="00E109D2" w:rsidRPr="00E109D2">
        <w:rPr>
          <w:rFonts w:cs="Times New Roman"/>
          <w:sz w:val="28"/>
          <w:szCs w:val="28"/>
          <w:shd w:val="clear" w:color="auto" w:fill="FFFFFF"/>
        </w:rPr>
        <w:t>Phân tích dược động học cho thấy thời gian bán hủy tương đố</w:t>
      </w:r>
      <w:r w:rsidR="00B76A27">
        <w:rPr>
          <w:rFonts w:cs="Times New Roman"/>
          <w:sz w:val="28"/>
          <w:szCs w:val="28"/>
          <w:shd w:val="clear" w:color="auto" w:fill="FFFFFF"/>
        </w:rPr>
        <w:t>i ngắn</w:t>
      </w:r>
      <w:r w:rsidR="00E109D2" w:rsidRPr="00E109D2">
        <w:rPr>
          <w:rFonts w:cs="Times New Roman"/>
          <w:sz w:val="28"/>
          <w:szCs w:val="28"/>
          <w:shd w:val="clear" w:color="auto" w:fill="FFFFFF"/>
        </w:rPr>
        <w:t xml:space="preserve"> của </w:t>
      </w:r>
      <w:r w:rsidR="00E109D2" w:rsidRPr="00CC042E">
        <w:rPr>
          <w:rFonts w:cs="Times New Roman"/>
          <w:sz w:val="28"/>
          <w:szCs w:val="28"/>
        </w:rPr>
        <w:t xml:space="preserve">PF-07321332 </w:t>
      </w:r>
      <w:r w:rsidR="00B76A27">
        <w:rPr>
          <w:rFonts w:cs="Times New Roman"/>
          <w:sz w:val="28"/>
          <w:szCs w:val="28"/>
          <w:shd w:val="clear" w:color="auto" w:fill="FFFFFF"/>
        </w:rPr>
        <w:t xml:space="preserve">(khoảng </w:t>
      </w:r>
      <w:r w:rsidR="00E109D2" w:rsidRPr="00E109D2">
        <w:rPr>
          <w:rFonts w:cs="Times New Roman"/>
          <w:sz w:val="28"/>
          <w:szCs w:val="28"/>
          <w:shd w:val="clear" w:color="auto" w:fill="FFFFFF"/>
        </w:rPr>
        <w:t>4-5 giờ</w:t>
      </w:r>
      <w:r w:rsidR="00B76A27">
        <w:rPr>
          <w:rFonts w:cs="Times New Roman"/>
          <w:sz w:val="28"/>
          <w:szCs w:val="28"/>
          <w:shd w:val="clear" w:color="auto" w:fill="FFFFFF"/>
        </w:rPr>
        <w:t>)</w:t>
      </w:r>
      <w:r w:rsidR="00303EAE">
        <w:rPr>
          <w:rFonts w:cs="Times New Roman"/>
          <w:sz w:val="28"/>
          <w:szCs w:val="28"/>
          <w:shd w:val="clear" w:color="auto" w:fill="FFFFFF"/>
        </w:rPr>
        <w:t>, v</w:t>
      </w:r>
      <w:r w:rsidR="00B76A27">
        <w:rPr>
          <w:rFonts w:cs="Times New Roman"/>
          <w:sz w:val="28"/>
          <w:szCs w:val="28"/>
          <w:shd w:val="clear" w:color="auto" w:fill="FFFFFF"/>
        </w:rPr>
        <w:t xml:space="preserve">ì thế thuốc được sử dụng </w:t>
      </w:r>
      <w:r w:rsidR="00E109D2" w:rsidRPr="00E109D2">
        <w:rPr>
          <w:rFonts w:cs="Times New Roman"/>
          <w:sz w:val="28"/>
          <w:szCs w:val="28"/>
          <w:shd w:val="clear" w:color="auto" w:fill="FFFFFF"/>
        </w:rPr>
        <w:t xml:space="preserve">đồng thời với ritonavir, một chất ức chế CYP 3A4 mạnh, có thể làm giảm sự chuyển hóa của </w:t>
      </w:r>
      <w:r w:rsidR="00E109D2" w:rsidRPr="00CC042E">
        <w:rPr>
          <w:rFonts w:cs="Times New Roman"/>
          <w:sz w:val="28"/>
          <w:szCs w:val="28"/>
        </w:rPr>
        <w:t xml:space="preserve">PF-07321332 </w:t>
      </w:r>
      <w:r w:rsidR="00E109D2">
        <w:rPr>
          <w:rFonts w:cs="Times New Roman"/>
          <w:sz w:val="28"/>
          <w:szCs w:val="28"/>
          <w:shd w:val="clear" w:color="auto" w:fill="FFFFFF"/>
        </w:rPr>
        <w:t>làm</w:t>
      </w:r>
      <w:r w:rsidR="00E109D2" w:rsidRPr="00E109D2">
        <w:rPr>
          <w:rFonts w:cs="Times New Roman"/>
          <w:sz w:val="28"/>
          <w:szCs w:val="28"/>
          <w:shd w:val="clear" w:color="auto" w:fill="FFFFFF"/>
        </w:rPr>
        <w:t xml:space="preserve"> </w:t>
      </w:r>
      <w:r w:rsidR="00E109D2">
        <w:rPr>
          <w:rFonts w:cs="Times New Roman"/>
          <w:sz w:val="28"/>
          <w:szCs w:val="28"/>
          <w:shd w:val="clear" w:color="auto" w:fill="FFFFFF"/>
        </w:rPr>
        <w:t>tăng nồng độ</w:t>
      </w:r>
      <w:r w:rsidR="00E109D2" w:rsidRPr="00E109D2">
        <w:rPr>
          <w:rFonts w:cs="Times New Roman"/>
          <w:sz w:val="28"/>
          <w:szCs w:val="28"/>
          <w:shd w:val="clear" w:color="auto" w:fill="FFFFFF"/>
        </w:rPr>
        <w:t xml:space="preserve"> và / hoặc giảm liều lượ</w:t>
      </w:r>
      <w:r w:rsidR="00B76A27">
        <w:rPr>
          <w:rFonts w:cs="Times New Roman"/>
          <w:sz w:val="28"/>
          <w:szCs w:val="28"/>
          <w:shd w:val="clear" w:color="auto" w:fill="FFFFFF"/>
        </w:rPr>
        <w:t xml:space="preserve">ng của </w:t>
      </w:r>
      <w:r w:rsidR="00B76A27" w:rsidRPr="00CC042E">
        <w:rPr>
          <w:rFonts w:cs="Times New Roman"/>
          <w:sz w:val="28"/>
          <w:szCs w:val="28"/>
        </w:rPr>
        <w:t>PF-07321332</w:t>
      </w:r>
      <w:r w:rsidR="00E109D2" w:rsidRPr="00E109D2">
        <w:rPr>
          <w:rFonts w:cs="Times New Roman"/>
          <w:sz w:val="28"/>
          <w:szCs w:val="28"/>
          <w:shd w:val="clear" w:color="auto" w:fill="FFFFFF"/>
        </w:rPr>
        <w:t xml:space="preserve">. </w:t>
      </w:r>
      <w:r w:rsidR="00C30313">
        <w:rPr>
          <w:rFonts w:cs="Times New Roman"/>
          <w:sz w:val="28"/>
          <w:szCs w:val="28"/>
          <w:shd w:val="clear" w:color="auto" w:fill="FFFFFF"/>
        </w:rPr>
        <w:t>[</w:t>
      </w:r>
      <w:r w:rsidR="00E337CE">
        <w:rPr>
          <w:rFonts w:cs="Times New Roman"/>
          <w:sz w:val="28"/>
          <w:szCs w:val="28"/>
          <w:shd w:val="clear" w:color="auto" w:fill="FFFFFF"/>
        </w:rPr>
        <w:t>30</w:t>
      </w:r>
      <w:r w:rsidR="00C30313">
        <w:rPr>
          <w:rFonts w:cs="Times New Roman"/>
          <w:sz w:val="28"/>
          <w:szCs w:val="28"/>
          <w:shd w:val="clear" w:color="auto" w:fill="FFFFFF"/>
        </w:rPr>
        <w:t>]</w:t>
      </w:r>
      <w:r w:rsidR="00B76A27">
        <w:rPr>
          <w:rFonts w:cs="Times New Roman"/>
          <w:sz w:val="28"/>
          <w:szCs w:val="28"/>
          <w:shd w:val="clear" w:color="auto" w:fill="FFFFFF"/>
        </w:rPr>
        <w:t xml:space="preserve"> </w:t>
      </w:r>
      <w:r w:rsidR="00FD08BA">
        <w:rPr>
          <w:rFonts w:cs="Times New Roman"/>
          <w:sz w:val="28"/>
          <w:szCs w:val="28"/>
          <w:shd w:val="clear" w:color="auto" w:fill="FFFFFF"/>
        </w:rPr>
        <w:t>Thuốc</w:t>
      </w:r>
      <w:r w:rsidR="00FD08BA" w:rsidRPr="00FD08BA">
        <w:rPr>
          <w:rFonts w:cs="Times New Roman"/>
          <w:sz w:val="28"/>
          <w:szCs w:val="28"/>
          <w:shd w:val="clear" w:color="auto" w:fill="FFFFFF"/>
        </w:rPr>
        <w:t xml:space="preserve"> được </w:t>
      </w:r>
      <w:r w:rsidR="00FD08BA">
        <w:rPr>
          <w:rFonts w:cs="Times New Roman"/>
          <w:sz w:val="28"/>
          <w:szCs w:val="28"/>
          <w:shd w:val="clear" w:color="auto" w:fill="FFFFFF"/>
        </w:rPr>
        <w:t>dùng</w:t>
      </w:r>
      <w:r w:rsidR="00FD08BA" w:rsidRPr="00FD08BA">
        <w:rPr>
          <w:rFonts w:cs="Times New Roman"/>
          <w:sz w:val="28"/>
          <w:szCs w:val="28"/>
          <w:shd w:val="clear" w:color="auto" w:fill="FFFFFF"/>
        </w:rPr>
        <w:t xml:space="preserve"> bằng đường uống, do đó nó có thể được sử dụng khi</w:t>
      </w:r>
      <w:r w:rsidR="00FD08BA">
        <w:rPr>
          <w:rFonts w:cs="Times New Roman"/>
          <w:sz w:val="28"/>
          <w:szCs w:val="28"/>
          <w:shd w:val="clear" w:color="auto" w:fill="FFFFFF"/>
        </w:rPr>
        <w:t xml:space="preserve"> bệnh nhân</w:t>
      </w:r>
      <w:r w:rsidR="00FD08BA" w:rsidRPr="00FD08BA">
        <w:rPr>
          <w:rFonts w:cs="Times New Roman"/>
          <w:sz w:val="28"/>
          <w:szCs w:val="28"/>
          <w:shd w:val="clear" w:color="auto" w:fill="FFFFFF"/>
        </w:rPr>
        <w:t xml:space="preserve"> </w:t>
      </w:r>
      <w:r w:rsidR="00303EAE">
        <w:rPr>
          <w:rFonts w:cs="Times New Roman"/>
          <w:sz w:val="28"/>
          <w:szCs w:val="28"/>
          <w:shd w:val="clear" w:color="auto" w:fill="FFFFFF"/>
        </w:rPr>
        <w:t xml:space="preserve">vừa </w:t>
      </w:r>
      <w:r w:rsidR="00FD08BA" w:rsidRPr="00FD08BA">
        <w:rPr>
          <w:rFonts w:cs="Times New Roman"/>
          <w:sz w:val="28"/>
          <w:szCs w:val="28"/>
          <w:shd w:val="clear" w:color="auto" w:fill="FFFFFF"/>
        </w:rPr>
        <w:t>có dấu hiệu nhiễm hoặc tiếp xúc vớ</w:t>
      </w:r>
      <w:r w:rsidR="00FD08BA">
        <w:rPr>
          <w:rFonts w:cs="Times New Roman"/>
          <w:sz w:val="28"/>
          <w:szCs w:val="28"/>
          <w:shd w:val="clear" w:color="auto" w:fill="FFFFFF"/>
        </w:rPr>
        <w:t>i SARS-CoV-2</w:t>
      </w:r>
      <w:r w:rsidR="00FD08BA" w:rsidRPr="00FD08BA">
        <w:rPr>
          <w:rFonts w:cs="Times New Roman"/>
          <w:sz w:val="28"/>
          <w:szCs w:val="28"/>
          <w:shd w:val="clear" w:color="auto" w:fill="FFFFFF"/>
        </w:rPr>
        <w:t xml:space="preserve"> mà không cần bệnh nhân phải nhập viện</w:t>
      </w:r>
      <w:r w:rsidR="00FD08BA">
        <w:rPr>
          <w:rFonts w:cs="Times New Roman"/>
          <w:sz w:val="28"/>
          <w:szCs w:val="28"/>
          <w:shd w:val="clear" w:color="auto" w:fill="FFFFFF"/>
        </w:rPr>
        <w:t xml:space="preserve">. </w:t>
      </w:r>
      <w:r w:rsidR="00FD08BA" w:rsidRPr="00CC042E">
        <w:rPr>
          <w:rFonts w:cs="Times New Roman"/>
          <w:sz w:val="28"/>
          <w:szCs w:val="28"/>
        </w:rPr>
        <w:t>Liều dự kiến 30</w:t>
      </w:r>
      <w:r w:rsidR="00FD08BA" w:rsidRPr="002C72CD">
        <w:rPr>
          <w:rFonts w:cs="Times New Roman"/>
          <w:sz w:val="28"/>
          <w:szCs w:val="28"/>
        </w:rPr>
        <w:t xml:space="preserve">0mg (hai viên 150mg) PF-07321332 với một viên 100mg Ritonavir, 2 lần mỗi ngày trong 5 ngày. </w:t>
      </w:r>
    </w:p>
    <w:p w:rsidR="005E78EB" w:rsidRPr="002C72CD" w:rsidRDefault="002C72CD" w:rsidP="00820A72">
      <w:pPr>
        <w:ind w:firstLine="720"/>
        <w:contextualSpacing/>
        <w:jc w:val="both"/>
        <w:rPr>
          <w:rFonts w:cs="Times New Roman"/>
          <w:sz w:val="28"/>
          <w:szCs w:val="28"/>
          <w:shd w:val="clear" w:color="auto" w:fill="FFFFFF"/>
        </w:rPr>
      </w:pPr>
      <w:r w:rsidRPr="002C72CD">
        <w:rPr>
          <w:rFonts w:cs="Times New Roman"/>
          <w:sz w:val="28"/>
          <w:szCs w:val="28"/>
        </w:rPr>
        <w:t xml:space="preserve">Dữ liệu phân tích tạm thời của giai đoạn 2/3 EPIC-HR của PF-07321332 cho thấy nguy cơ nhập viện hoặc số tử vong liên quan đến COVID-19 từ bất kỳ nguyên nhân nào giảm đáng kể (89%) so với giả dược. </w:t>
      </w:r>
      <w:r w:rsidR="002E611E">
        <w:rPr>
          <w:rFonts w:cs="Times New Roman"/>
          <w:sz w:val="28"/>
          <w:szCs w:val="28"/>
        </w:rPr>
        <w:t xml:space="preserve">Trong khi đó </w:t>
      </w:r>
      <w:r w:rsidR="002E611E" w:rsidRPr="00CC042E">
        <w:rPr>
          <w:rFonts w:cs="Times New Roman"/>
          <w:sz w:val="28"/>
          <w:szCs w:val="28"/>
          <w:shd w:val="clear" w:color="auto" w:fill="FFFFFF"/>
        </w:rPr>
        <w:t>Molnupiravir</w:t>
      </w:r>
      <w:r w:rsidR="002E611E">
        <w:rPr>
          <w:rFonts w:cs="Times New Roman"/>
          <w:sz w:val="28"/>
          <w:szCs w:val="28"/>
          <w:shd w:val="clear" w:color="auto" w:fill="FFFFFF"/>
        </w:rPr>
        <w:t xml:space="preserve"> hiện đang là thuốc kháng virus Covid-19 tiềm năng được sử dụng chỉ</w:t>
      </w:r>
      <w:r w:rsidR="002E611E" w:rsidRPr="00CC042E">
        <w:rPr>
          <w:rFonts w:cs="Times New Roman"/>
          <w:sz w:val="28"/>
          <w:szCs w:val="28"/>
          <w:shd w:val="clear" w:color="auto" w:fill="FFFFFF"/>
        </w:rPr>
        <w:t xml:space="preserve"> </w:t>
      </w:r>
      <w:r w:rsidR="002E611E">
        <w:rPr>
          <w:rFonts w:cs="Times New Roman"/>
          <w:sz w:val="28"/>
          <w:szCs w:val="28"/>
          <w:shd w:val="clear" w:color="auto" w:fill="FFFFFF"/>
        </w:rPr>
        <w:t xml:space="preserve">cho thấy </w:t>
      </w:r>
      <w:r w:rsidR="002E611E" w:rsidRPr="00CC042E">
        <w:rPr>
          <w:rFonts w:cs="Times New Roman"/>
          <w:sz w:val="28"/>
          <w:szCs w:val="28"/>
          <w:shd w:val="clear" w:color="auto" w:fill="FFFFFF"/>
        </w:rPr>
        <w:t>g</w:t>
      </w:r>
      <w:r w:rsidR="002E611E" w:rsidRPr="00CC042E">
        <w:rPr>
          <w:rFonts w:eastAsia="Times New Roman" w:cs="Times New Roman"/>
          <w:sz w:val="28"/>
          <w:szCs w:val="28"/>
        </w:rPr>
        <w:t xml:space="preserve">iảm khoảng 50% nguy cơ nhập viện hoặc tử vong so với giả dược ở bệnh nhân nhiễm COVID-19 mức độ nhẹ hoặc trung bình dựa trên kết quả phân tích tạm thời nghiên cứu MOVe-OUT </w:t>
      </w:r>
      <w:r w:rsidR="002E611E" w:rsidRPr="00CC042E">
        <w:rPr>
          <w:rFonts w:cs="Times New Roman"/>
          <w:sz w:val="28"/>
          <w:szCs w:val="28"/>
        </w:rPr>
        <w:t>(NCT04575597)</w:t>
      </w:r>
      <w:r w:rsidR="002E611E" w:rsidRPr="00CC042E">
        <w:rPr>
          <w:rFonts w:eastAsia="Times New Roman" w:cs="Times New Roman"/>
          <w:sz w:val="28"/>
          <w:szCs w:val="28"/>
        </w:rPr>
        <w:t xml:space="preserve"> giai đoạn 3. </w:t>
      </w:r>
      <w:r w:rsidR="00694015" w:rsidRPr="002C72CD">
        <w:rPr>
          <w:rFonts w:cs="Times New Roman"/>
          <w:sz w:val="28"/>
          <w:szCs w:val="28"/>
        </w:rPr>
        <w:t xml:space="preserve">Bên </w:t>
      </w:r>
      <w:r w:rsidR="00694015">
        <w:rPr>
          <w:rFonts w:cs="Times New Roman"/>
          <w:sz w:val="28"/>
          <w:szCs w:val="28"/>
        </w:rPr>
        <w:t>cạnh đó đ</w:t>
      </w:r>
      <w:r w:rsidR="00AE762C" w:rsidRPr="005D00ED">
        <w:rPr>
          <w:rFonts w:cs="Times New Roman"/>
          <w:sz w:val="28"/>
          <w:szCs w:val="28"/>
        </w:rPr>
        <w:t>ể đạt được hiệu lự</w:t>
      </w:r>
      <w:r w:rsidR="002E611E">
        <w:rPr>
          <w:rFonts w:cs="Times New Roman"/>
          <w:sz w:val="28"/>
          <w:szCs w:val="28"/>
        </w:rPr>
        <w:t xml:space="preserve">c kháng virus </w:t>
      </w:r>
      <w:r w:rsidR="00AE762C" w:rsidRPr="005D00ED">
        <w:rPr>
          <w:rFonts w:cs="Times New Roman"/>
          <w:sz w:val="28"/>
          <w:szCs w:val="28"/>
        </w:rPr>
        <w:t xml:space="preserve">tối đa và đồng thời tránh sự xuất hiện của các biến thể kháng thuốc, </w:t>
      </w:r>
      <w:r w:rsidR="00694015">
        <w:rPr>
          <w:rFonts w:cs="Times New Roman"/>
          <w:sz w:val="28"/>
          <w:szCs w:val="28"/>
        </w:rPr>
        <w:t>sự kết hợp thuốc kháng virus trong điều trị là cần thiết</w:t>
      </w:r>
      <w:r w:rsidR="00AE762C" w:rsidRPr="005D00ED">
        <w:rPr>
          <w:rFonts w:cs="Times New Roman"/>
          <w:sz w:val="28"/>
          <w:szCs w:val="28"/>
        </w:rPr>
        <w:t>. Thuốc ức chế</w:t>
      </w:r>
      <w:r w:rsidR="00694015">
        <w:rPr>
          <w:rFonts w:cs="Times New Roman"/>
          <w:sz w:val="28"/>
          <w:szCs w:val="28"/>
        </w:rPr>
        <w:t xml:space="preserve"> 3CL</w:t>
      </w:r>
      <w:r w:rsidR="00694015">
        <w:rPr>
          <w:rFonts w:cs="Times New Roman"/>
          <w:sz w:val="28"/>
          <w:szCs w:val="28"/>
          <w:vertAlign w:val="superscript"/>
        </w:rPr>
        <w:t>pro</w:t>
      </w:r>
      <w:r w:rsidR="00AE762C" w:rsidRPr="005D00ED">
        <w:rPr>
          <w:rFonts w:cs="Times New Roman"/>
          <w:sz w:val="28"/>
          <w:szCs w:val="28"/>
        </w:rPr>
        <w:t xml:space="preserve"> đường uống như </w:t>
      </w:r>
      <w:r w:rsidR="00694015" w:rsidRPr="00CC042E">
        <w:rPr>
          <w:rFonts w:cs="Times New Roman"/>
          <w:sz w:val="28"/>
          <w:szCs w:val="28"/>
        </w:rPr>
        <w:t xml:space="preserve">PF-07321332 </w:t>
      </w:r>
      <w:r w:rsidR="00AE762C" w:rsidRPr="005D00ED">
        <w:rPr>
          <w:rFonts w:cs="Times New Roman"/>
          <w:sz w:val="28"/>
          <w:szCs w:val="28"/>
        </w:rPr>
        <w:t>có thể là ứng cử viên lý tưở</w:t>
      </w:r>
      <w:r w:rsidR="00694015">
        <w:rPr>
          <w:rFonts w:cs="Times New Roman"/>
          <w:sz w:val="28"/>
          <w:szCs w:val="28"/>
        </w:rPr>
        <w:t>ng cho việc</w:t>
      </w:r>
      <w:r w:rsidR="00AE762C" w:rsidRPr="005D00ED">
        <w:rPr>
          <w:rFonts w:cs="Times New Roman"/>
          <w:sz w:val="28"/>
          <w:szCs w:val="28"/>
        </w:rPr>
        <w:t xml:space="preserve"> kết hợp với </w:t>
      </w:r>
      <w:r w:rsidR="00694015">
        <w:rPr>
          <w:rFonts w:cs="Times New Roman"/>
          <w:sz w:val="28"/>
          <w:szCs w:val="28"/>
        </w:rPr>
        <w:t xml:space="preserve">nhóm thuốc tác động lên </w:t>
      </w:r>
      <w:r w:rsidR="00694015" w:rsidRPr="00CC042E">
        <w:rPr>
          <w:rFonts w:cs="Times New Roman"/>
          <w:sz w:val="28"/>
          <w:szCs w:val="28"/>
          <w:shd w:val="clear" w:color="auto" w:fill="FFFFFF"/>
        </w:rPr>
        <w:t>RdRp</w:t>
      </w:r>
      <w:r w:rsidR="00AE762C" w:rsidRPr="005D00ED">
        <w:rPr>
          <w:rFonts w:cs="Times New Roman"/>
          <w:sz w:val="28"/>
          <w:szCs w:val="28"/>
        </w:rPr>
        <w:t xml:space="preserve"> như molnupiravir, favipiravir hoặc remdesvir đường uống.</w:t>
      </w:r>
      <w:r w:rsidR="00694015">
        <w:rPr>
          <w:rFonts w:cs="Times New Roman"/>
          <w:sz w:val="28"/>
          <w:szCs w:val="28"/>
        </w:rPr>
        <w:t xml:space="preserve"> </w:t>
      </w:r>
      <w:r w:rsidR="00DD14BC">
        <w:rPr>
          <w:rFonts w:cs="Times New Roman"/>
          <w:sz w:val="28"/>
          <w:szCs w:val="28"/>
          <w:shd w:val="clear" w:color="auto" w:fill="FFFFFF"/>
        </w:rPr>
        <w:t>Ngoài ra h</w:t>
      </w:r>
      <w:r w:rsidR="00303EAE" w:rsidRPr="00FF6CDA">
        <w:rPr>
          <w:rFonts w:cs="Times New Roman"/>
          <w:sz w:val="28"/>
          <w:szCs w:val="28"/>
          <w:shd w:val="clear" w:color="auto" w:fill="FFFFFF"/>
        </w:rPr>
        <w:t>iệ</w:t>
      </w:r>
      <w:r w:rsidR="00DD14BC">
        <w:rPr>
          <w:rFonts w:cs="Times New Roman"/>
          <w:sz w:val="28"/>
          <w:szCs w:val="28"/>
          <w:shd w:val="clear" w:color="auto" w:fill="FFFFFF"/>
        </w:rPr>
        <w:t>n chưa</w:t>
      </w:r>
      <w:r w:rsidR="00303EAE" w:rsidRPr="00FF6CDA">
        <w:rPr>
          <w:rFonts w:cs="Times New Roman"/>
          <w:sz w:val="28"/>
          <w:szCs w:val="28"/>
          <w:shd w:val="clear" w:color="auto" w:fill="FFFFFF"/>
        </w:rPr>
        <w:t xml:space="preserve"> có </w:t>
      </w:r>
      <w:r w:rsidR="00DD14BC">
        <w:rPr>
          <w:rFonts w:cs="Times New Roman"/>
          <w:sz w:val="28"/>
          <w:szCs w:val="28"/>
          <w:shd w:val="clear" w:color="auto" w:fill="FFFFFF"/>
        </w:rPr>
        <w:t>thuố</w:t>
      </w:r>
      <w:r w:rsidR="00AE762C">
        <w:rPr>
          <w:rFonts w:cs="Times New Roman"/>
          <w:sz w:val="28"/>
          <w:szCs w:val="28"/>
          <w:shd w:val="clear" w:color="auto" w:fill="FFFFFF"/>
        </w:rPr>
        <w:t>c</w:t>
      </w:r>
      <w:r w:rsidR="00303EAE" w:rsidRPr="00FF6CDA">
        <w:rPr>
          <w:rFonts w:cs="Times New Roman"/>
          <w:sz w:val="28"/>
          <w:szCs w:val="28"/>
          <w:shd w:val="clear" w:color="auto" w:fill="FFFFFF"/>
        </w:rPr>
        <w:t xml:space="preserve"> </w:t>
      </w:r>
      <w:r w:rsidR="00DD14BC">
        <w:rPr>
          <w:rFonts w:cs="Times New Roman"/>
          <w:sz w:val="28"/>
          <w:szCs w:val="28"/>
          <w:shd w:val="clear" w:color="auto" w:fill="FFFFFF"/>
        </w:rPr>
        <w:t xml:space="preserve">nào được chỉ định </w:t>
      </w:r>
      <w:r w:rsidR="00303EAE" w:rsidRPr="00FF6CDA">
        <w:rPr>
          <w:rFonts w:cs="Times New Roman"/>
          <w:sz w:val="28"/>
          <w:szCs w:val="28"/>
          <w:shd w:val="clear" w:color="auto" w:fill="FFFFFF"/>
        </w:rPr>
        <w:t xml:space="preserve">để điều trị </w:t>
      </w:r>
      <w:r w:rsidR="00303EAE">
        <w:rPr>
          <w:rFonts w:cs="Times New Roman"/>
          <w:sz w:val="28"/>
          <w:szCs w:val="28"/>
          <w:shd w:val="clear" w:color="auto" w:fill="FFFFFF"/>
        </w:rPr>
        <w:t xml:space="preserve">dự phòng </w:t>
      </w:r>
      <w:r w:rsidR="00DD14BC">
        <w:rPr>
          <w:rFonts w:cs="Times New Roman"/>
          <w:sz w:val="28"/>
          <w:szCs w:val="28"/>
          <w:shd w:val="clear" w:color="auto" w:fill="FFFFFF"/>
        </w:rPr>
        <w:t xml:space="preserve">COVID-19. Trên in vivo </w:t>
      </w:r>
      <w:r w:rsidR="00DD14BC" w:rsidRPr="00CC042E">
        <w:rPr>
          <w:rFonts w:cs="Times New Roman"/>
          <w:sz w:val="28"/>
          <w:szCs w:val="28"/>
        </w:rPr>
        <w:t>PF-07321332</w:t>
      </w:r>
      <w:r w:rsidR="00DD14BC">
        <w:rPr>
          <w:rFonts w:cs="Times New Roman"/>
          <w:sz w:val="28"/>
          <w:szCs w:val="28"/>
        </w:rPr>
        <w:t xml:space="preserve"> </w:t>
      </w:r>
      <w:r w:rsidR="00DD14BC" w:rsidRPr="00CC042E">
        <w:rPr>
          <w:rFonts w:cs="Times New Roman"/>
          <w:sz w:val="28"/>
          <w:szCs w:val="28"/>
        </w:rPr>
        <w:t xml:space="preserve">cho thấy </w:t>
      </w:r>
      <w:r w:rsidR="00DD14BC">
        <w:rPr>
          <w:rFonts w:cs="Times New Roman"/>
          <w:sz w:val="28"/>
          <w:szCs w:val="28"/>
        </w:rPr>
        <w:t xml:space="preserve">hiệu quả trong việc ngăn chặn </w:t>
      </w:r>
      <w:r w:rsidR="00DD14BC" w:rsidRPr="00CC042E">
        <w:rPr>
          <w:rFonts w:cs="Times New Roman"/>
          <w:sz w:val="28"/>
          <w:szCs w:val="28"/>
        </w:rPr>
        <w:t>việc lây truyền</w:t>
      </w:r>
      <w:r w:rsidR="00DD14BC">
        <w:rPr>
          <w:rFonts w:cs="Times New Roman"/>
          <w:sz w:val="28"/>
          <w:szCs w:val="28"/>
        </w:rPr>
        <w:t xml:space="preserve"> ở những con chuột bị</w:t>
      </w:r>
      <w:r w:rsidR="00DD14BC" w:rsidRPr="00CC042E">
        <w:rPr>
          <w:rFonts w:cs="Times New Roman"/>
          <w:sz w:val="28"/>
          <w:szCs w:val="28"/>
        </w:rPr>
        <w:t xml:space="preserve"> nhiễm SARS-CoV-2 (biết thể delta) sang những con chuột khác.</w:t>
      </w:r>
      <w:r w:rsidR="00DD14BC">
        <w:rPr>
          <w:rFonts w:cs="Times New Roman"/>
          <w:sz w:val="28"/>
          <w:szCs w:val="28"/>
        </w:rPr>
        <w:t xml:space="preserve"> [</w:t>
      </w:r>
      <w:r w:rsidR="00AD3CD1">
        <w:rPr>
          <w:rFonts w:cs="Times New Roman"/>
          <w:sz w:val="28"/>
          <w:szCs w:val="28"/>
        </w:rPr>
        <w:t>30</w:t>
      </w:r>
      <w:r w:rsidR="00DD14BC">
        <w:rPr>
          <w:rFonts w:cs="Times New Roman"/>
          <w:sz w:val="28"/>
          <w:szCs w:val="28"/>
        </w:rPr>
        <w:t>]</w:t>
      </w:r>
      <w:r w:rsidR="00DD14BC" w:rsidRPr="00CC042E">
        <w:rPr>
          <w:rFonts w:cs="Times New Roman"/>
          <w:sz w:val="28"/>
          <w:szCs w:val="28"/>
        </w:rPr>
        <w:t xml:space="preserve"> </w:t>
      </w:r>
      <w:r w:rsidR="00AE762C">
        <w:rPr>
          <w:rFonts w:cs="Times New Roman"/>
          <w:sz w:val="28"/>
          <w:szCs w:val="28"/>
        </w:rPr>
        <w:t xml:space="preserve">Pfizer cũng đang tiến hành nghiên cứu </w:t>
      </w:r>
      <w:r w:rsidR="00AE762C" w:rsidRPr="00CC042E">
        <w:rPr>
          <w:rFonts w:cs="Times New Roman"/>
          <w:sz w:val="28"/>
          <w:szCs w:val="28"/>
        </w:rPr>
        <w:t>EPIC-PEP</w:t>
      </w:r>
      <w:r w:rsidR="00AE762C">
        <w:rPr>
          <w:rFonts w:cs="Times New Roman"/>
          <w:sz w:val="28"/>
          <w:szCs w:val="28"/>
        </w:rPr>
        <w:t xml:space="preserve"> g</w:t>
      </w:r>
      <w:r w:rsidR="00AE762C" w:rsidRPr="00CC042E">
        <w:rPr>
          <w:rFonts w:cs="Times New Roman"/>
          <w:sz w:val="28"/>
          <w:szCs w:val="28"/>
        </w:rPr>
        <w:t>iai đoạ</w:t>
      </w:r>
      <w:r w:rsidR="00AE762C">
        <w:rPr>
          <w:rFonts w:cs="Times New Roman"/>
          <w:sz w:val="28"/>
          <w:szCs w:val="28"/>
        </w:rPr>
        <w:t xml:space="preserve">n 2/3 nhằm đánh giá hiệu quả </w:t>
      </w:r>
      <w:r w:rsidR="00AE762C" w:rsidRPr="00AE762C">
        <w:rPr>
          <w:rFonts w:cs="Times New Roman"/>
          <w:sz w:val="28"/>
          <w:szCs w:val="28"/>
        </w:rPr>
        <w:t>PF-07321332</w:t>
      </w:r>
      <w:r w:rsidR="00AE762C">
        <w:rPr>
          <w:rFonts w:cs="Times New Roman"/>
          <w:sz w:val="28"/>
          <w:szCs w:val="28"/>
        </w:rPr>
        <w:t xml:space="preserve"> trong</w:t>
      </w:r>
      <w:r w:rsidR="00AE762C" w:rsidRPr="00AE762C">
        <w:rPr>
          <w:rFonts w:cs="Times New Roman"/>
          <w:sz w:val="28"/>
          <w:szCs w:val="28"/>
        </w:rPr>
        <w:t xml:space="preserve"> ngăn ngừa nhiễm COVID-19.</w:t>
      </w:r>
      <w:r w:rsidR="00AE762C">
        <w:rPr>
          <w:rFonts w:cs="Times New Roman"/>
          <w:sz w:val="28"/>
          <w:szCs w:val="28"/>
        </w:rPr>
        <w:t xml:space="preserve"> Nếu thành công đây sẽ là thuốc đầu tiên được dùng để phòng ngừa Covid-19</w:t>
      </w:r>
      <w:r w:rsidR="00D83887">
        <w:rPr>
          <w:rFonts w:cs="Times New Roman"/>
          <w:sz w:val="28"/>
          <w:szCs w:val="28"/>
        </w:rPr>
        <w:t>, kết hợp với vắc xin</w:t>
      </w:r>
      <w:r w:rsidR="00693E21">
        <w:rPr>
          <w:rFonts w:cs="Times New Roman"/>
          <w:sz w:val="28"/>
          <w:szCs w:val="28"/>
        </w:rPr>
        <w:t xml:space="preserve"> </w:t>
      </w:r>
      <w:r w:rsidR="00FF6CDA" w:rsidRPr="00FF6CDA">
        <w:rPr>
          <w:rFonts w:cs="Times New Roman"/>
          <w:sz w:val="28"/>
          <w:szCs w:val="28"/>
        </w:rPr>
        <w:t xml:space="preserve">giúp dập tắt </w:t>
      </w:r>
      <w:r w:rsidR="00D83887">
        <w:rPr>
          <w:rFonts w:cs="Times New Roman"/>
          <w:sz w:val="28"/>
          <w:szCs w:val="28"/>
        </w:rPr>
        <w:t>dịch bệnh,</w:t>
      </w:r>
      <w:r w:rsidR="00FF6CDA" w:rsidRPr="00FF6CDA">
        <w:rPr>
          <w:rFonts w:cs="Times New Roman"/>
          <w:sz w:val="28"/>
          <w:szCs w:val="28"/>
        </w:rPr>
        <w:t xml:space="preserve"> ngăn chặ</w:t>
      </w:r>
      <w:r w:rsidR="00D83887">
        <w:rPr>
          <w:rFonts w:cs="Times New Roman"/>
          <w:sz w:val="28"/>
          <w:szCs w:val="28"/>
        </w:rPr>
        <w:t>n sớm sự lây lan của virus.</w:t>
      </w:r>
    </w:p>
    <w:p w:rsidR="00E916AD" w:rsidRDefault="002C72CD" w:rsidP="00820A72">
      <w:pPr>
        <w:ind w:firstLine="720"/>
        <w:contextualSpacing/>
        <w:jc w:val="both"/>
        <w:rPr>
          <w:rFonts w:cs="Times New Roman"/>
          <w:sz w:val="28"/>
          <w:szCs w:val="28"/>
        </w:rPr>
      </w:pPr>
      <w:r>
        <w:rPr>
          <w:rFonts w:cs="Times New Roman"/>
          <w:sz w:val="28"/>
          <w:szCs w:val="28"/>
        </w:rPr>
        <w:lastRenderedPageBreak/>
        <w:t xml:space="preserve">Tuy nhiên </w:t>
      </w:r>
      <w:r w:rsidRPr="002C72CD">
        <w:rPr>
          <w:rFonts w:cs="Times New Roman"/>
          <w:sz w:val="28"/>
          <w:szCs w:val="28"/>
        </w:rPr>
        <w:t>vẫn còn quá sớm để dự đoán liệ</w:t>
      </w:r>
      <w:r w:rsidR="00D34B96">
        <w:rPr>
          <w:rFonts w:cs="Times New Roman"/>
          <w:sz w:val="28"/>
          <w:szCs w:val="28"/>
        </w:rPr>
        <w:t xml:space="preserve">u </w:t>
      </w:r>
      <w:r w:rsidR="00D34B96" w:rsidRPr="00AE762C">
        <w:rPr>
          <w:rFonts w:cs="Times New Roman"/>
          <w:sz w:val="28"/>
          <w:szCs w:val="28"/>
        </w:rPr>
        <w:t>PF-07321332</w:t>
      </w:r>
      <w:r w:rsidRPr="002C72CD">
        <w:rPr>
          <w:rFonts w:cs="Times New Roman"/>
          <w:sz w:val="28"/>
          <w:szCs w:val="28"/>
        </w:rPr>
        <w:t xml:space="preserve"> có thực sự </w:t>
      </w:r>
      <w:r w:rsidR="00D34B96">
        <w:rPr>
          <w:rFonts w:cs="Times New Roman"/>
          <w:sz w:val="28"/>
          <w:szCs w:val="28"/>
        </w:rPr>
        <w:t xml:space="preserve">hiệu quả trên người hay không khi chưa có bất kỳ dữ liệu nào được công bố chính thức (chỉ có công bố tạm thời của thử nghiệm </w:t>
      </w:r>
      <w:r w:rsidR="00D34B96" w:rsidRPr="002C72CD">
        <w:rPr>
          <w:rFonts w:cs="Times New Roman"/>
          <w:sz w:val="28"/>
          <w:szCs w:val="28"/>
        </w:rPr>
        <w:t>EPIC-HR</w:t>
      </w:r>
      <w:r w:rsidR="00D34B96">
        <w:rPr>
          <w:rFonts w:cs="Times New Roman"/>
          <w:sz w:val="28"/>
          <w:szCs w:val="28"/>
        </w:rPr>
        <w:t xml:space="preserve"> do Pfizer công bố), các nghiên cứu về </w:t>
      </w:r>
      <w:r w:rsidR="00D34B96" w:rsidRPr="00AE762C">
        <w:rPr>
          <w:rFonts w:cs="Times New Roman"/>
          <w:sz w:val="28"/>
          <w:szCs w:val="28"/>
        </w:rPr>
        <w:t>PF-07321332</w:t>
      </w:r>
      <w:r w:rsidR="00D34B96" w:rsidRPr="002C72CD">
        <w:rPr>
          <w:rFonts w:cs="Times New Roman"/>
          <w:sz w:val="28"/>
          <w:szCs w:val="28"/>
        </w:rPr>
        <w:t xml:space="preserve"> </w:t>
      </w:r>
      <w:r w:rsidR="00D34B96">
        <w:rPr>
          <w:rFonts w:cs="Times New Roman"/>
          <w:sz w:val="28"/>
          <w:szCs w:val="28"/>
        </w:rPr>
        <w:t>khá khiêm tốn</w:t>
      </w:r>
      <w:r w:rsidRPr="002C72CD">
        <w:rPr>
          <w:rFonts w:cs="Times New Roman"/>
          <w:sz w:val="28"/>
          <w:szCs w:val="28"/>
        </w:rPr>
        <w:t xml:space="preserve"> tại thời điể</w:t>
      </w:r>
      <w:r w:rsidR="00D34B96">
        <w:rPr>
          <w:rFonts w:cs="Times New Roman"/>
          <w:sz w:val="28"/>
          <w:szCs w:val="28"/>
        </w:rPr>
        <w:t>m này. T</w:t>
      </w:r>
      <w:r w:rsidR="00D34B96" w:rsidRPr="00CC042E">
        <w:rPr>
          <w:rFonts w:cs="Times New Roman"/>
          <w:sz w:val="28"/>
          <w:szCs w:val="28"/>
        </w:rPr>
        <w:t>huốc PF-07321332, nếu được cấp phép, chỉ được dùng điều trị cho bệnh nhân mới nhiễm bệ</w:t>
      </w:r>
      <w:r w:rsidR="00D34B96">
        <w:rPr>
          <w:rFonts w:cs="Times New Roman"/>
          <w:sz w:val="28"/>
          <w:szCs w:val="28"/>
        </w:rPr>
        <w:t xml:space="preserve">nh, không cho thấy kết quả ở những bệnh nhân nặng và về hiệu quả dự phòng của thuốc cũng như dữ liệu an toàn thì cần thêm nghiên cứu để khẳng định. </w:t>
      </w:r>
      <w:r w:rsidR="00751FF3" w:rsidRPr="00751FF3">
        <w:rPr>
          <w:rFonts w:cs="Times New Roman"/>
          <w:sz w:val="28"/>
          <w:szCs w:val="28"/>
        </w:rPr>
        <w:t>Ngoài ra</w:t>
      </w:r>
      <w:r w:rsidR="00751FF3">
        <w:rPr>
          <w:rFonts w:cs="Times New Roman"/>
          <w:sz w:val="28"/>
          <w:szCs w:val="28"/>
        </w:rPr>
        <w:t xml:space="preserve"> cần thêm dữ liệu về</w:t>
      </w:r>
      <w:r w:rsidR="00751FF3" w:rsidRPr="00751FF3">
        <w:rPr>
          <w:rFonts w:cs="Times New Roman"/>
          <w:sz w:val="28"/>
          <w:szCs w:val="28"/>
        </w:rPr>
        <w:t xml:space="preserve"> những yếu tố </w:t>
      </w:r>
      <w:r w:rsidR="00751FF3">
        <w:rPr>
          <w:rFonts w:cs="Times New Roman"/>
          <w:sz w:val="28"/>
          <w:szCs w:val="28"/>
        </w:rPr>
        <w:t>như</w:t>
      </w:r>
      <w:r w:rsidR="00751FF3" w:rsidRPr="00751FF3">
        <w:rPr>
          <w:rFonts w:cs="Times New Roman"/>
          <w:sz w:val="28"/>
          <w:szCs w:val="28"/>
        </w:rPr>
        <w:t xml:space="preserve"> tương tác thuốc - thuốc, </w:t>
      </w:r>
      <w:r w:rsidR="00751FF3">
        <w:rPr>
          <w:rFonts w:cs="Times New Roman"/>
          <w:sz w:val="28"/>
          <w:szCs w:val="28"/>
        </w:rPr>
        <w:t>hiệu quả của thuốc với các biến thể Covid-19 mới hay sự đáp ứng của quần thể khác nhau với thuốc, t</w:t>
      </w:r>
      <w:r w:rsidR="00751FF3" w:rsidRPr="00751FF3">
        <w:rPr>
          <w:rFonts w:cs="Times New Roman"/>
          <w:sz w:val="28"/>
          <w:szCs w:val="28"/>
        </w:rPr>
        <w:t xml:space="preserve">hông tin này </w:t>
      </w:r>
      <w:r w:rsidR="00751FF3">
        <w:rPr>
          <w:rFonts w:cs="Times New Roman"/>
          <w:sz w:val="28"/>
          <w:szCs w:val="28"/>
        </w:rPr>
        <w:t xml:space="preserve">có thể ảnh hưởng đến hiệu quả thuốc </w:t>
      </w:r>
      <w:r w:rsidR="00751FF3" w:rsidRPr="00751FF3">
        <w:rPr>
          <w:rFonts w:cs="Times New Roman"/>
          <w:sz w:val="28"/>
          <w:szCs w:val="28"/>
        </w:rPr>
        <w:t>trong quá trình điều trị</w:t>
      </w:r>
      <w:r w:rsidR="00751FF3">
        <w:rPr>
          <w:rFonts w:cs="Times New Roman"/>
          <w:sz w:val="28"/>
          <w:szCs w:val="28"/>
        </w:rPr>
        <w:t xml:space="preserve">. </w:t>
      </w:r>
      <w:r w:rsidR="00E916AD" w:rsidRPr="00E916AD">
        <w:rPr>
          <w:rFonts w:cs="Times New Roman"/>
          <w:sz w:val="28"/>
          <w:szCs w:val="28"/>
        </w:rPr>
        <w:t>Cuố</w:t>
      </w:r>
      <w:r w:rsidR="007562E4">
        <w:rPr>
          <w:rFonts w:cs="Times New Roman"/>
          <w:sz w:val="28"/>
          <w:szCs w:val="28"/>
        </w:rPr>
        <w:t>i cùng là</w:t>
      </w:r>
      <w:r w:rsidR="00E916AD" w:rsidRPr="00E916AD">
        <w:rPr>
          <w:rFonts w:cs="Times New Roman"/>
          <w:sz w:val="28"/>
          <w:szCs w:val="28"/>
        </w:rPr>
        <w:t xml:space="preserve"> </w:t>
      </w:r>
      <w:r w:rsidR="007562E4">
        <w:rPr>
          <w:rFonts w:cs="Times New Roman"/>
          <w:sz w:val="28"/>
          <w:szCs w:val="28"/>
        </w:rPr>
        <w:t xml:space="preserve">vấn đề về </w:t>
      </w:r>
      <w:r w:rsidR="00E916AD" w:rsidRPr="00E916AD">
        <w:rPr>
          <w:rFonts w:cs="Times New Roman"/>
          <w:sz w:val="28"/>
          <w:szCs w:val="28"/>
        </w:rPr>
        <w:t>chi phí và khả năng tiếp cận</w:t>
      </w:r>
      <w:r w:rsidR="007562E4">
        <w:rPr>
          <w:rFonts w:cs="Times New Roman"/>
          <w:sz w:val="28"/>
          <w:szCs w:val="28"/>
        </w:rPr>
        <w:t xml:space="preserve"> thuốc rộng rãi</w:t>
      </w:r>
      <w:r w:rsidR="00E916AD" w:rsidRPr="00E916AD">
        <w:rPr>
          <w:rFonts w:cs="Times New Roman"/>
          <w:sz w:val="28"/>
          <w:szCs w:val="28"/>
        </w:rPr>
        <w:t xml:space="preserve"> cho tất cả</w:t>
      </w:r>
      <w:r w:rsidR="007562E4">
        <w:rPr>
          <w:rFonts w:cs="Times New Roman"/>
          <w:sz w:val="28"/>
          <w:szCs w:val="28"/>
        </w:rPr>
        <w:t xml:space="preserve"> đối tượ</w:t>
      </w:r>
      <w:r w:rsidR="001A2D80">
        <w:rPr>
          <w:rFonts w:cs="Times New Roman"/>
          <w:sz w:val="28"/>
          <w:szCs w:val="28"/>
        </w:rPr>
        <w:t>ng sau khi thuốc ra thị trường.</w:t>
      </w:r>
    </w:p>
    <w:p w:rsidR="00E109D2" w:rsidRPr="00F35B4C" w:rsidRDefault="00F35B4C" w:rsidP="00F35B4C">
      <w:pPr>
        <w:pStyle w:val="ListParagraph"/>
        <w:numPr>
          <w:ilvl w:val="0"/>
          <w:numId w:val="16"/>
        </w:numPr>
        <w:jc w:val="both"/>
        <w:rPr>
          <w:rFonts w:cs="Times New Roman"/>
          <w:b/>
          <w:sz w:val="28"/>
          <w:szCs w:val="28"/>
        </w:rPr>
      </w:pPr>
      <w:r w:rsidRPr="00F35B4C">
        <w:rPr>
          <w:rFonts w:cs="Times New Roman"/>
          <w:b/>
          <w:sz w:val="28"/>
          <w:szCs w:val="28"/>
        </w:rPr>
        <w:t>Kết luận:</w:t>
      </w:r>
    </w:p>
    <w:p w:rsidR="00F35B4C" w:rsidRPr="00F35B4C" w:rsidRDefault="001A2D80" w:rsidP="00E337CE">
      <w:pPr>
        <w:ind w:firstLine="720"/>
        <w:jc w:val="both"/>
        <w:rPr>
          <w:rFonts w:cs="Times New Roman"/>
          <w:sz w:val="28"/>
          <w:szCs w:val="28"/>
        </w:rPr>
      </w:pPr>
      <w:r>
        <w:rPr>
          <w:rFonts w:cs="Times New Roman"/>
          <w:sz w:val="28"/>
          <w:szCs w:val="28"/>
        </w:rPr>
        <w:t>Thuốc kháng virus</w:t>
      </w:r>
      <w:r w:rsidR="00F35B4C" w:rsidRPr="00F35B4C">
        <w:rPr>
          <w:rFonts w:cs="Times New Roman"/>
          <w:sz w:val="28"/>
          <w:szCs w:val="28"/>
        </w:rPr>
        <w:t xml:space="preserve"> qua đường uống PF-07321332 </w:t>
      </w:r>
      <w:r w:rsidR="005546FD">
        <w:rPr>
          <w:rFonts w:cs="Times New Roman"/>
          <w:sz w:val="28"/>
          <w:szCs w:val="28"/>
        </w:rPr>
        <w:t xml:space="preserve">cho thấy </w:t>
      </w:r>
      <w:r w:rsidR="00F35B4C" w:rsidRPr="00F35B4C">
        <w:rPr>
          <w:rFonts w:cs="Times New Roman"/>
          <w:sz w:val="28"/>
          <w:szCs w:val="28"/>
        </w:rPr>
        <w:t xml:space="preserve">sẽ giúp cải thiện tình trạng bệnh </w:t>
      </w:r>
      <w:r>
        <w:rPr>
          <w:rFonts w:cs="Times New Roman"/>
          <w:sz w:val="28"/>
          <w:szCs w:val="28"/>
        </w:rPr>
        <w:t>trong</w:t>
      </w:r>
      <w:r w:rsidR="00F35B4C" w:rsidRPr="00F35B4C">
        <w:rPr>
          <w:rFonts w:cs="Times New Roman"/>
          <w:sz w:val="28"/>
          <w:szCs w:val="28"/>
        </w:rPr>
        <w:t xml:space="preserve"> giai đoạn đầu cũng như </w:t>
      </w:r>
      <w:r>
        <w:rPr>
          <w:rFonts w:cs="Times New Roman"/>
          <w:sz w:val="28"/>
          <w:szCs w:val="28"/>
        </w:rPr>
        <w:t>hạn chế sự lây lan và tình trạng bệnh trở nặng</w:t>
      </w:r>
      <w:r w:rsidR="00F35B4C" w:rsidRPr="00F35B4C">
        <w:rPr>
          <w:rFonts w:cs="Times New Roman"/>
          <w:sz w:val="28"/>
          <w:szCs w:val="28"/>
        </w:rPr>
        <w:t xml:space="preserve">. Mặc dù cần có thêm </w:t>
      </w:r>
      <w:r>
        <w:rPr>
          <w:rFonts w:cs="Times New Roman"/>
          <w:sz w:val="28"/>
          <w:szCs w:val="28"/>
        </w:rPr>
        <w:t>nghiên cứu</w:t>
      </w:r>
      <w:r w:rsidR="00F35B4C" w:rsidRPr="00F35B4C">
        <w:rPr>
          <w:rFonts w:cs="Times New Roman"/>
          <w:sz w:val="28"/>
          <w:szCs w:val="28"/>
        </w:rPr>
        <w:t xml:space="preserve"> chứng minh </w:t>
      </w:r>
      <w:r>
        <w:rPr>
          <w:rFonts w:cs="Times New Roman"/>
          <w:sz w:val="28"/>
          <w:szCs w:val="28"/>
        </w:rPr>
        <w:t>về hiệu quả, tính an toàn</w:t>
      </w:r>
      <w:r w:rsidR="00F35B4C" w:rsidRPr="00F35B4C">
        <w:rPr>
          <w:rFonts w:cs="Times New Roman"/>
          <w:sz w:val="28"/>
          <w:szCs w:val="28"/>
        </w:rPr>
        <w:t xml:space="preserve">, </w:t>
      </w:r>
      <w:r>
        <w:rPr>
          <w:rFonts w:cs="Times New Roman"/>
          <w:sz w:val="28"/>
          <w:szCs w:val="28"/>
        </w:rPr>
        <w:t xml:space="preserve">thuốc </w:t>
      </w:r>
      <w:r w:rsidRPr="00F35B4C">
        <w:rPr>
          <w:rFonts w:cs="Times New Roman"/>
          <w:sz w:val="28"/>
          <w:szCs w:val="28"/>
        </w:rPr>
        <w:t xml:space="preserve">PF-07321332 </w:t>
      </w:r>
      <w:r>
        <w:rPr>
          <w:rFonts w:cs="Times New Roman"/>
          <w:sz w:val="28"/>
          <w:szCs w:val="28"/>
        </w:rPr>
        <w:t xml:space="preserve">hay </w:t>
      </w:r>
      <w:r w:rsidR="00F35B4C" w:rsidRPr="00F35B4C">
        <w:rPr>
          <w:rFonts w:cs="Times New Roman"/>
          <w:sz w:val="28"/>
          <w:szCs w:val="28"/>
        </w:rPr>
        <w:t xml:space="preserve">nhóm </w:t>
      </w:r>
      <w:r w:rsidR="005546FD">
        <w:rPr>
          <w:rFonts w:cs="Times New Roman"/>
          <w:sz w:val="28"/>
          <w:szCs w:val="28"/>
        </w:rPr>
        <w:t xml:space="preserve">thuốc theo cơ chế </w:t>
      </w:r>
      <w:r>
        <w:rPr>
          <w:rFonts w:cs="Times New Roman"/>
          <w:sz w:val="28"/>
          <w:szCs w:val="28"/>
        </w:rPr>
        <w:t>ức chế men protease đem đến</w:t>
      </w:r>
      <w:r w:rsidR="00F35B4C" w:rsidRPr="00F35B4C">
        <w:rPr>
          <w:rFonts w:cs="Times New Roman"/>
          <w:sz w:val="28"/>
          <w:szCs w:val="28"/>
        </w:rPr>
        <w:t xml:space="preserve"> một phương pháp điều trị coronavirus đầy hứa hẹ</w:t>
      </w:r>
      <w:r>
        <w:rPr>
          <w:rFonts w:cs="Times New Roman"/>
          <w:sz w:val="28"/>
          <w:szCs w:val="28"/>
        </w:rPr>
        <w:t>n</w:t>
      </w:r>
      <w:r w:rsidR="00F35B4C" w:rsidRPr="00F35B4C">
        <w:rPr>
          <w:rFonts w:cs="Times New Roman"/>
          <w:sz w:val="28"/>
          <w:szCs w:val="28"/>
        </w:rPr>
        <w:t xml:space="preserve"> dưới dạng đơn trị liệu hoặc kết hợp với các thuố</w:t>
      </w:r>
      <w:r w:rsidR="002E611E">
        <w:rPr>
          <w:rFonts w:cs="Times New Roman"/>
          <w:sz w:val="28"/>
          <w:szCs w:val="28"/>
        </w:rPr>
        <w:t>c kháng virus</w:t>
      </w:r>
      <w:r w:rsidR="005546FD">
        <w:rPr>
          <w:rFonts w:cs="Times New Roman"/>
          <w:sz w:val="28"/>
          <w:szCs w:val="28"/>
        </w:rPr>
        <w:t xml:space="preserve"> </w:t>
      </w:r>
      <w:r w:rsidR="00F35B4C" w:rsidRPr="00F35B4C">
        <w:rPr>
          <w:rFonts w:cs="Times New Roman"/>
          <w:sz w:val="28"/>
          <w:szCs w:val="28"/>
        </w:rPr>
        <w:t>khác</w:t>
      </w:r>
      <w:r w:rsidR="005546FD">
        <w:rPr>
          <w:rFonts w:cs="Times New Roman"/>
          <w:sz w:val="28"/>
          <w:szCs w:val="28"/>
        </w:rPr>
        <w:t xml:space="preserve"> hiện có.</w:t>
      </w:r>
    </w:p>
    <w:p w:rsidR="00006C78" w:rsidRPr="00CC042E" w:rsidRDefault="00AC6C44" w:rsidP="00305BAB">
      <w:pPr>
        <w:jc w:val="both"/>
        <w:rPr>
          <w:rFonts w:cs="Times New Roman"/>
          <w:b/>
          <w:sz w:val="28"/>
          <w:szCs w:val="28"/>
        </w:rPr>
      </w:pPr>
      <w:r w:rsidRPr="00CC042E">
        <w:rPr>
          <w:rFonts w:cs="Times New Roman"/>
          <w:b/>
          <w:sz w:val="28"/>
          <w:szCs w:val="28"/>
        </w:rPr>
        <w:t>Tài liệu tham khảo</w:t>
      </w:r>
    </w:p>
    <w:p w:rsidR="00F62B7F" w:rsidRPr="00B80A3A" w:rsidRDefault="00F62B7F" w:rsidP="001C7DDB">
      <w:pPr>
        <w:rPr>
          <w:i/>
          <w:sz w:val="28"/>
          <w:szCs w:val="28"/>
        </w:rPr>
      </w:pPr>
      <w:r w:rsidRPr="00B80A3A">
        <w:rPr>
          <w:i/>
          <w:sz w:val="28"/>
          <w:szCs w:val="28"/>
        </w:rPr>
        <w:t>Tiếng Việt</w:t>
      </w:r>
    </w:p>
    <w:p w:rsidR="001C7DDB" w:rsidRPr="00CF5F8C" w:rsidRDefault="001C7DDB" w:rsidP="00CF5F8C">
      <w:pPr>
        <w:pStyle w:val="ListParagraph"/>
        <w:numPr>
          <w:ilvl w:val="0"/>
          <w:numId w:val="21"/>
        </w:numPr>
        <w:rPr>
          <w:sz w:val="28"/>
          <w:szCs w:val="28"/>
        </w:rPr>
      </w:pPr>
      <w:r w:rsidRPr="00CF5F8C">
        <w:rPr>
          <w:sz w:val="28"/>
          <w:szCs w:val="28"/>
        </w:rPr>
        <w:t>Bộ Y tế (2021), Hướng dẫn chẩn đoán và điều trị Covid-19 (Ban hành kèm theo Quyết định số 4689 /QĐ-BYT ngày 06 tháng 10 năm 2021)</w:t>
      </w:r>
      <w:r w:rsidR="00FD66DC" w:rsidRPr="00CF5F8C">
        <w:rPr>
          <w:sz w:val="28"/>
          <w:szCs w:val="28"/>
        </w:rPr>
        <w:t>.</w:t>
      </w:r>
    </w:p>
    <w:p w:rsidR="001C7DDB" w:rsidRPr="00CF5F8C" w:rsidRDefault="001C7DDB" w:rsidP="00CF5F8C">
      <w:pPr>
        <w:pStyle w:val="ListParagraph"/>
        <w:numPr>
          <w:ilvl w:val="0"/>
          <w:numId w:val="21"/>
        </w:numPr>
        <w:rPr>
          <w:sz w:val="28"/>
          <w:szCs w:val="28"/>
        </w:rPr>
      </w:pPr>
      <w:r w:rsidRPr="00CF5F8C">
        <w:rPr>
          <w:sz w:val="28"/>
          <w:szCs w:val="28"/>
        </w:rPr>
        <w:t>Sở y tế TPHCM, Số 6065/SYT-NVY “Hướng dẫn gói chăm sóc sức khỏe tại nhà cho người F0” (phiên bản 1.5).</w:t>
      </w:r>
    </w:p>
    <w:p w:rsidR="001B694E" w:rsidRPr="00CF5F8C" w:rsidRDefault="00F62B7F" w:rsidP="00CF5F8C">
      <w:pPr>
        <w:jc w:val="both"/>
        <w:rPr>
          <w:rFonts w:cs="Times New Roman"/>
          <w:i/>
          <w:sz w:val="28"/>
          <w:szCs w:val="28"/>
        </w:rPr>
      </w:pPr>
      <w:r w:rsidRPr="00CF5F8C">
        <w:rPr>
          <w:rFonts w:cs="Times New Roman"/>
          <w:i/>
          <w:sz w:val="28"/>
          <w:szCs w:val="28"/>
        </w:rPr>
        <w:t>Tiếng Anh</w:t>
      </w:r>
    </w:p>
    <w:p w:rsidR="00E4099E" w:rsidRPr="00CF5F8C" w:rsidRDefault="00E4099E" w:rsidP="00CF5F8C">
      <w:pPr>
        <w:pStyle w:val="ListParagraph"/>
        <w:numPr>
          <w:ilvl w:val="0"/>
          <w:numId w:val="21"/>
        </w:numPr>
        <w:rPr>
          <w:sz w:val="28"/>
          <w:szCs w:val="28"/>
        </w:rPr>
      </w:pPr>
      <w:r w:rsidRPr="00CF5F8C">
        <w:rPr>
          <w:sz w:val="28"/>
          <w:szCs w:val="28"/>
        </w:rPr>
        <w:t>AHFS, Assessment of Evidence for COVID-19-Related Treatments, Updated 08/19/2021</w:t>
      </w:r>
    </w:p>
    <w:p w:rsidR="00C93C86" w:rsidRPr="00CF5F8C" w:rsidRDefault="001B694E" w:rsidP="00CF5F8C">
      <w:pPr>
        <w:pStyle w:val="ListParagraph"/>
        <w:numPr>
          <w:ilvl w:val="0"/>
          <w:numId w:val="21"/>
        </w:numPr>
        <w:jc w:val="both"/>
        <w:rPr>
          <w:rFonts w:cs="Times New Roman"/>
          <w:sz w:val="28"/>
          <w:szCs w:val="28"/>
        </w:rPr>
      </w:pPr>
      <w:r w:rsidRPr="00CF5F8C">
        <w:rPr>
          <w:rFonts w:cs="Times New Roman"/>
          <w:sz w:val="28"/>
          <w:szCs w:val="28"/>
        </w:rPr>
        <w:t>Abdelnabi, Rana, et al. "The oral protease inhibitor (PF-07321332) protects Syrian hamsters against infection with SARS-CoV-2 variants of concern." (2021). doi: </w:t>
      </w:r>
      <w:hyperlink r:id="rId19" w:history="1">
        <w:r w:rsidR="00C93C86" w:rsidRPr="00CF5F8C">
          <w:rPr>
            <w:rStyle w:val="Hyperlink"/>
            <w:rFonts w:cs="Times New Roman"/>
            <w:color w:val="auto"/>
            <w:sz w:val="28"/>
            <w:szCs w:val="28"/>
            <w:u w:val="none"/>
          </w:rPr>
          <w:t>https://doi.org/10.1101/2021.11.04.467077</w:t>
        </w:r>
      </w:hyperlink>
    </w:p>
    <w:p w:rsidR="00E45120" w:rsidRPr="00CF5F8C" w:rsidRDefault="00E45120" w:rsidP="00735094">
      <w:pPr>
        <w:pStyle w:val="ListParagraph"/>
        <w:numPr>
          <w:ilvl w:val="0"/>
          <w:numId w:val="21"/>
        </w:numPr>
        <w:rPr>
          <w:sz w:val="28"/>
          <w:szCs w:val="28"/>
        </w:rPr>
      </w:pPr>
      <w:r w:rsidRPr="00CF5F8C">
        <w:rPr>
          <w:sz w:val="28"/>
          <w:szCs w:val="28"/>
        </w:rPr>
        <w:t xml:space="preserve">ClinicalTrials.gov. </w:t>
      </w:r>
      <w:hyperlink r:id="rId20" w:tooltip="Show study NCT04909853: Renal Impairment Study of PF-07321332 Boosted With Ritonavir in Adult Participants With Renal Impairment and in Healthy Participants With Normal Renal Function." w:history="1">
        <w:r w:rsidRPr="00CF5F8C">
          <w:rPr>
            <w:rStyle w:val="Hyperlink"/>
            <w:color w:val="auto"/>
            <w:sz w:val="28"/>
            <w:szCs w:val="28"/>
            <w:u w:val="none"/>
          </w:rPr>
          <w:t xml:space="preserve">Renal Impairment Study of PF-07321332 Boosted With Ritonavir in Adult Participants With Renal Impairment and in Healthy Participants </w:t>
        </w:r>
        <w:r w:rsidRPr="00CF5F8C">
          <w:rPr>
            <w:rStyle w:val="Hyperlink"/>
            <w:color w:val="auto"/>
            <w:sz w:val="28"/>
            <w:szCs w:val="28"/>
            <w:u w:val="none"/>
          </w:rPr>
          <w:lastRenderedPageBreak/>
          <w:t>With Normal Renal Function.</w:t>
        </w:r>
      </w:hyperlink>
      <w:r w:rsidRPr="00CF5F8C">
        <w:rPr>
          <w:sz w:val="28"/>
          <w:szCs w:val="28"/>
        </w:rPr>
        <w:t xml:space="preserve"> 2021. </w:t>
      </w:r>
      <w:hyperlink r:id="rId21" w:history="1">
        <w:r w:rsidRPr="00CF5F8C">
          <w:rPr>
            <w:rStyle w:val="Hyperlink"/>
            <w:color w:val="auto"/>
            <w:sz w:val="28"/>
            <w:szCs w:val="28"/>
            <w:u w:val="none"/>
          </w:rPr>
          <w:t>https://clinicaltrials.gov/ct2/show/NCT04909853</w:t>
        </w:r>
      </w:hyperlink>
    </w:p>
    <w:p w:rsidR="00E45120" w:rsidRPr="00CF5F8C" w:rsidRDefault="00E45120" w:rsidP="00CF5F8C">
      <w:pPr>
        <w:pStyle w:val="ListParagraph"/>
        <w:numPr>
          <w:ilvl w:val="0"/>
          <w:numId w:val="21"/>
        </w:numPr>
        <w:rPr>
          <w:sz w:val="28"/>
          <w:szCs w:val="28"/>
        </w:rPr>
      </w:pPr>
      <w:r w:rsidRPr="00CF5F8C">
        <w:rPr>
          <w:sz w:val="28"/>
          <w:szCs w:val="28"/>
        </w:rPr>
        <w:t xml:space="preserve">ClinicalTrials.gov. </w:t>
      </w:r>
      <w:hyperlink r:id="rId22" w:tooltip="Show study NCT04962230: Drug-Drug Interaction Study Assessing Effect of Carbamazepine on PF-07321332 Boosted With Ritonavir" w:history="1">
        <w:r w:rsidRPr="00CF5F8C">
          <w:rPr>
            <w:rStyle w:val="Hyperlink"/>
            <w:color w:val="auto"/>
            <w:sz w:val="28"/>
            <w:szCs w:val="28"/>
            <w:u w:val="none"/>
          </w:rPr>
          <w:t>Drug-Drug Interaction Study Assessing Effect of Carbamazepine on PF-07321332 Boosted With Ritonavir</w:t>
        </w:r>
      </w:hyperlink>
      <w:r w:rsidRPr="00CF5F8C">
        <w:rPr>
          <w:sz w:val="28"/>
          <w:szCs w:val="28"/>
        </w:rPr>
        <w:t>. 2021. https://clinicaltrials.gov/ct2/show/NCT04962230</w:t>
      </w:r>
    </w:p>
    <w:p w:rsidR="00E45120" w:rsidRPr="00CF5F8C" w:rsidRDefault="00E45120" w:rsidP="00CF5F8C">
      <w:pPr>
        <w:pStyle w:val="ListParagraph"/>
        <w:numPr>
          <w:ilvl w:val="0"/>
          <w:numId w:val="21"/>
        </w:numPr>
        <w:rPr>
          <w:sz w:val="28"/>
          <w:szCs w:val="28"/>
        </w:rPr>
      </w:pPr>
      <w:r w:rsidRPr="00CF5F8C">
        <w:rPr>
          <w:sz w:val="28"/>
          <w:szCs w:val="28"/>
        </w:rPr>
        <w:t xml:space="preserve">ClinicalTrials.gov. </w:t>
      </w:r>
      <w:hyperlink r:id="rId23" w:tooltip="Show study NCT05064800: PF-07321332/Ritonavir and Ritonavir on Dabigatran Study in Healthy Participants" w:history="1">
        <w:r w:rsidRPr="00CF5F8C">
          <w:rPr>
            <w:rStyle w:val="Hyperlink"/>
            <w:color w:val="auto"/>
            <w:sz w:val="28"/>
            <w:szCs w:val="28"/>
            <w:u w:val="none"/>
          </w:rPr>
          <w:t>PF-07321332/Ritonavir and Ritonavir on Dabigatran Study in Healthy Participants</w:t>
        </w:r>
      </w:hyperlink>
      <w:r w:rsidRPr="00CF5F8C">
        <w:rPr>
          <w:sz w:val="28"/>
          <w:szCs w:val="28"/>
        </w:rPr>
        <w:t xml:space="preserve">. 2021. </w:t>
      </w:r>
      <w:hyperlink r:id="rId24" w:history="1">
        <w:r w:rsidRPr="00CF5F8C">
          <w:rPr>
            <w:rStyle w:val="Hyperlink"/>
            <w:color w:val="auto"/>
            <w:sz w:val="28"/>
            <w:szCs w:val="28"/>
            <w:u w:val="none"/>
          </w:rPr>
          <w:t>https://clinicaltrials.gov/ct2/show/NCT05064800</w:t>
        </w:r>
      </w:hyperlink>
    </w:p>
    <w:p w:rsidR="00E45120" w:rsidRPr="00CF5F8C" w:rsidRDefault="00E45120" w:rsidP="00CF5F8C">
      <w:pPr>
        <w:pStyle w:val="ListParagraph"/>
        <w:numPr>
          <w:ilvl w:val="0"/>
          <w:numId w:val="21"/>
        </w:numPr>
        <w:rPr>
          <w:sz w:val="28"/>
          <w:szCs w:val="28"/>
        </w:rPr>
      </w:pPr>
      <w:r w:rsidRPr="00CF5F8C">
        <w:rPr>
          <w:sz w:val="28"/>
          <w:szCs w:val="28"/>
        </w:rPr>
        <w:t>ClinicalTrials.gov.</w:t>
      </w:r>
      <w:hyperlink r:id="rId25" w:history="1">
        <w:r w:rsidRPr="00CF5F8C">
          <w:rPr>
            <w:rStyle w:val="Hyperlink"/>
            <w:color w:val="auto"/>
            <w:sz w:val="28"/>
            <w:szCs w:val="28"/>
            <w:u w:val="none"/>
          </w:rPr>
          <w:t xml:space="preserve"> A Study of PF-07321332/Ritonavir in Nonhospitalized High Risk Adult Participants With COVID-19</w:t>
        </w:r>
      </w:hyperlink>
      <w:r w:rsidRPr="00CF5F8C">
        <w:rPr>
          <w:sz w:val="28"/>
          <w:szCs w:val="28"/>
        </w:rPr>
        <w:t>. 2021. https://clinicaltrials.gov/ct2/show/NCT04960202</w:t>
      </w:r>
    </w:p>
    <w:p w:rsidR="00E45120" w:rsidRPr="00CF5F8C" w:rsidRDefault="00E45120" w:rsidP="00CF5F8C">
      <w:pPr>
        <w:pStyle w:val="ListParagraph"/>
        <w:numPr>
          <w:ilvl w:val="0"/>
          <w:numId w:val="21"/>
        </w:numPr>
        <w:rPr>
          <w:sz w:val="28"/>
          <w:szCs w:val="28"/>
        </w:rPr>
      </w:pPr>
      <w:r w:rsidRPr="00CF5F8C">
        <w:rPr>
          <w:sz w:val="28"/>
          <w:szCs w:val="28"/>
        </w:rPr>
        <w:t xml:space="preserve">ClinicalTrials.gov. </w:t>
      </w:r>
      <w:hyperlink r:id="rId26" w:tooltip="Show study NCT04962022: Drug-Drug Interaction Study Assessing Effect of Itraconazole on PF-07321332/Ritonavir in Healthy Participants" w:history="1">
        <w:r w:rsidRPr="00CF5F8C">
          <w:rPr>
            <w:rStyle w:val="Hyperlink"/>
            <w:color w:val="auto"/>
            <w:sz w:val="28"/>
            <w:szCs w:val="28"/>
            <w:u w:val="none"/>
          </w:rPr>
          <w:t>Drug-Drug Interaction Study Assessing Effect of Itraconazole on PF-07321332/Ritonavir in Healthy Participants</w:t>
        </w:r>
      </w:hyperlink>
      <w:r w:rsidRPr="00CF5F8C">
        <w:rPr>
          <w:sz w:val="28"/>
          <w:szCs w:val="28"/>
        </w:rPr>
        <w:t>. 2021. https://clinicaltrials.gov/ct2/show/NCT04962022</w:t>
      </w:r>
    </w:p>
    <w:p w:rsidR="00E45120" w:rsidRPr="00CF5F8C" w:rsidRDefault="00E45120" w:rsidP="00CF5F8C">
      <w:pPr>
        <w:pStyle w:val="ListParagraph"/>
        <w:numPr>
          <w:ilvl w:val="0"/>
          <w:numId w:val="21"/>
        </w:numPr>
        <w:rPr>
          <w:sz w:val="28"/>
          <w:szCs w:val="28"/>
        </w:rPr>
      </w:pPr>
      <w:r w:rsidRPr="00CF5F8C">
        <w:rPr>
          <w:sz w:val="28"/>
          <w:szCs w:val="28"/>
        </w:rPr>
        <w:t xml:space="preserve">ClinicalTrials.gov. </w:t>
      </w:r>
      <w:hyperlink r:id="rId27" w:tooltip="Show study NCT05005312: Study to Estimate the Effects of Hepatic Impairment on the Pharmacokinetics (PK) of PF-07321332" w:history="1">
        <w:r w:rsidRPr="00CF5F8C">
          <w:rPr>
            <w:rStyle w:val="Hyperlink"/>
            <w:color w:val="auto"/>
            <w:sz w:val="28"/>
            <w:szCs w:val="28"/>
            <w:u w:val="none"/>
          </w:rPr>
          <w:t>Study to Estimate the Effects of Hepatic Impairment on the Pharmacokinetics (PK) of PF-07321332</w:t>
        </w:r>
      </w:hyperlink>
      <w:r w:rsidRPr="00CF5F8C">
        <w:rPr>
          <w:sz w:val="28"/>
          <w:szCs w:val="28"/>
        </w:rPr>
        <w:t>. 2021. https://clinicaltrials.gov/ct2/show/NCT05005312</w:t>
      </w:r>
    </w:p>
    <w:p w:rsidR="00E45120" w:rsidRPr="00CF5F8C" w:rsidRDefault="00E45120" w:rsidP="00CF5F8C">
      <w:pPr>
        <w:pStyle w:val="ListParagraph"/>
        <w:numPr>
          <w:ilvl w:val="0"/>
          <w:numId w:val="21"/>
        </w:numPr>
        <w:rPr>
          <w:sz w:val="28"/>
          <w:szCs w:val="28"/>
        </w:rPr>
      </w:pPr>
      <w:r w:rsidRPr="00CF5F8C">
        <w:rPr>
          <w:sz w:val="28"/>
          <w:szCs w:val="28"/>
        </w:rPr>
        <w:t xml:space="preserve">ClinicalTrials.gov. </w:t>
      </w:r>
      <w:hyperlink r:id="rId28" w:tooltip="Show study NCT05011513: A Study of PF-07321332/Ritonavir in Non-hospitalized Low-Risk Adult Participants With COVID-19" w:history="1">
        <w:r w:rsidRPr="00CF5F8C">
          <w:rPr>
            <w:rStyle w:val="Hyperlink"/>
            <w:color w:val="auto"/>
            <w:sz w:val="28"/>
            <w:szCs w:val="28"/>
            <w:u w:val="none"/>
          </w:rPr>
          <w:t>A Study of PF-07321332/Ritonavir in Non-hospitalized Low-Risk Adult Participants With COVID-19</w:t>
        </w:r>
      </w:hyperlink>
      <w:r w:rsidRPr="00CF5F8C">
        <w:rPr>
          <w:sz w:val="28"/>
          <w:szCs w:val="28"/>
        </w:rPr>
        <w:t>. 2021. https://clinicaltrials.gov/ct2/show/NCT05011513</w:t>
      </w:r>
    </w:p>
    <w:p w:rsidR="00E45120" w:rsidRPr="00CF5F8C" w:rsidRDefault="00E45120" w:rsidP="00CF5F8C">
      <w:pPr>
        <w:pStyle w:val="ListParagraph"/>
        <w:numPr>
          <w:ilvl w:val="0"/>
          <w:numId w:val="21"/>
        </w:numPr>
        <w:rPr>
          <w:sz w:val="28"/>
          <w:szCs w:val="28"/>
        </w:rPr>
      </w:pPr>
      <w:r w:rsidRPr="00CF5F8C">
        <w:rPr>
          <w:sz w:val="28"/>
          <w:szCs w:val="28"/>
        </w:rPr>
        <w:t xml:space="preserve">ClinicalTrials.gov. </w:t>
      </w:r>
      <w:hyperlink r:id="rId29" w:tooltip="Show study NCT05032950: Drug-Drug Interaction Study to Estimate the Effect of PF-07321332/Ritonavir and Ritonavir on Midazolam in Healthy Participants" w:history="1">
        <w:r w:rsidRPr="00CF5F8C">
          <w:rPr>
            <w:rStyle w:val="Hyperlink"/>
            <w:color w:val="auto"/>
            <w:sz w:val="28"/>
            <w:szCs w:val="28"/>
            <w:u w:val="none"/>
          </w:rPr>
          <w:t>Drug-Drug Interaction Study to Estimate the Effect of PF-07321332/Ritonavir and Ritonavir on Midazolam in Healthy Participants</w:t>
        </w:r>
      </w:hyperlink>
      <w:r w:rsidRPr="00CF5F8C">
        <w:rPr>
          <w:sz w:val="28"/>
          <w:szCs w:val="28"/>
        </w:rPr>
        <w:t>. 2021. https://clinicaltrials.gov/ct2/show/NCT05032950</w:t>
      </w:r>
    </w:p>
    <w:p w:rsidR="00E45120" w:rsidRPr="00CF1A69" w:rsidRDefault="00E45120" w:rsidP="00CF5F8C">
      <w:pPr>
        <w:pStyle w:val="ListParagraph"/>
        <w:numPr>
          <w:ilvl w:val="0"/>
          <w:numId w:val="21"/>
        </w:numPr>
        <w:rPr>
          <w:sz w:val="28"/>
          <w:szCs w:val="28"/>
        </w:rPr>
      </w:pPr>
      <w:r w:rsidRPr="00CF5F8C">
        <w:rPr>
          <w:sz w:val="28"/>
          <w:szCs w:val="28"/>
        </w:rPr>
        <w:t xml:space="preserve">ClinicalTrials.gov. </w:t>
      </w:r>
      <w:hyperlink r:id="rId30" w:tooltip="Show study NCT05047601: A Post-Exposure Prophylaxis Study of PF-07321332/Ritonavir in Adult Household Contacts of an Individual With Symptomatic COVID-19" w:history="1">
        <w:r w:rsidRPr="00CF1A69">
          <w:rPr>
            <w:rStyle w:val="Hyperlink"/>
            <w:color w:val="auto"/>
            <w:sz w:val="28"/>
            <w:szCs w:val="28"/>
            <w:u w:val="none"/>
          </w:rPr>
          <w:t>A Post-Exposure Prophylaxis Study of PF-07321332/Ritonavir in Adult Household Contacts of an Individual With Symptomatic COVID-19</w:t>
        </w:r>
      </w:hyperlink>
      <w:r w:rsidRPr="00CF1A69">
        <w:rPr>
          <w:sz w:val="28"/>
          <w:szCs w:val="28"/>
        </w:rPr>
        <w:t>. 2021. https://clinicaltrials.gov/ct2/show/NCT05047601</w:t>
      </w:r>
    </w:p>
    <w:p w:rsidR="00E45120" w:rsidRPr="00CF1A69" w:rsidRDefault="00E45120" w:rsidP="00CF5F8C">
      <w:pPr>
        <w:pStyle w:val="ListParagraph"/>
        <w:numPr>
          <w:ilvl w:val="0"/>
          <w:numId w:val="21"/>
        </w:numPr>
        <w:rPr>
          <w:sz w:val="28"/>
          <w:szCs w:val="28"/>
        </w:rPr>
      </w:pPr>
      <w:r w:rsidRPr="00CF1A69">
        <w:rPr>
          <w:sz w:val="28"/>
          <w:szCs w:val="28"/>
        </w:rPr>
        <w:t xml:space="preserve">ClinicalTrials.gov. </w:t>
      </w:r>
      <w:hyperlink r:id="rId31" w:tooltip="Show study NCT04756531: STUDY OF PF-07321332 IN HEALTHY PARTICIPANTS" w:history="1">
        <w:r w:rsidRPr="00CF1A69">
          <w:rPr>
            <w:rStyle w:val="Hyperlink"/>
            <w:color w:val="auto"/>
            <w:sz w:val="28"/>
            <w:szCs w:val="28"/>
            <w:u w:val="none"/>
          </w:rPr>
          <w:t>STUDY OF PF-07321332 IN HEALTHY PARTICIPANTS</w:t>
        </w:r>
      </w:hyperlink>
      <w:r w:rsidRPr="00CF1A69">
        <w:rPr>
          <w:sz w:val="28"/>
          <w:szCs w:val="28"/>
        </w:rPr>
        <w:t xml:space="preserve">. 2021. </w:t>
      </w:r>
      <w:hyperlink r:id="rId32" w:history="1">
        <w:r w:rsidR="00E4099E" w:rsidRPr="00CF1A69">
          <w:rPr>
            <w:rStyle w:val="Hyperlink"/>
            <w:color w:val="auto"/>
            <w:sz w:val="28"/>
            <w:szCs w:val="28"/>
            <w:u w:val="none"/>
          </w:rPr>
          <w:t>https://clinicaltrials.gov/ct2/show/NCT04756531</w:t>
        </w:r>
      </w:hyperlink>
    </w:p>
    <w:p w:rsidR="00FD66DC" w:rsidRPr="00CF1A69" w:rsidRDefault="00FD66DC" w:rsidP="00CF5F8C">
      <w:pPr>
        <w:pStyle w:val="ListParagraph"/>
        <w:numPr>
          <w:ilvl w:val="0"/>
          <w:numId w:val="21"/>
        </w:numPr>
        <w:rPr>
          <w:sz w:val="28"/>
          <w:szCs w:val="28"/>
        </w:rPr>
      </w:pPr>
      <w:r w:rsidRPr="00CF1A69">
        <w:rPr>
          <w:sz w:val="28"/>
          <w:szCs w:val="28"/>
        </w:rPr>
        <w:t xml:space="preserve">Drugbank online. PF-07321332, Molnupiravir, Remdesivir, Favipiravir. Link: </w:t>
      </w:r>
      <w:hyperlink r:id="rId33" w:history="1">
        <w:r w:rsidRPr="00CF1A69">
          <w:rPr>
            <w:rStyle w:val="Hyperlink"/>
            <w:color w:val="auto"/>
            <w:sz w:val="28"/>
            <w:szCs w:val="28"/>
            <w:u w:val="none"/>
          </w:rPr>
          <w:t>https://go.drugbank.com/drugs</w:t>
        </w:r>
      </w:hyperlink>
    </w:p>
    <w:p w:rsidR="00FD66DC" w:rsidRPr="00CF1A69" w:rsidRDefault="00FD66DC" w:rsidP="00CF5F8C">
      <w:pPr>
        <w:pStyle w:val="ListParagraph"/>
        <w:numPr>
          <w:ilvl w:val="0"/>
          <w:numId w:val="21"/>
        </w:numPr>
        <w:rPr>
          <w:sz w:val="28"/>
          <w:szCs w:val="28"/>
        </w:rPr>
      </w:pPr>
      <w:r w:rsidRPr="00CF1A69">
        <w:rPr>
          <w:sz w:val="28"/>
          <w:szCs w:val="28"/>
        </w:rPr>
        <w:t xml:space="preserve">FDA. FDA Approves First Treatment for COVID-19. Link: </w:t>
      </w:r>
      <w:hyperlink r:id="rId34" w:history="1">
        <w:r w:rsidRPr="00CF1A69">
          <w:rPr>
            <w:rStyle w:val="Hyperlink"/>
            <w:color w:val="auto"/>
            <w:sz w:val="28"/>
            <w:szCs w:val="28"/>
            <w:u w:val="none"/>
          </w:rPr>
          <w:t>https://www.fda.gov/news-events/press-announcements/fda-approves-first-treatment-covid-19</w:t>
        </w:r>
      </w:hyperlink>
    </w:p>
    <w:p w:rsidR="00CC042E" w:rsidRPr="00CF1A69" w:rsidRDefault="00CC042E" w:rsidP="00CF5F8C">
      <w:pPr>
        <w:pStyle w:val="ListParagraph"/>
        <w:numPr>
          <w:ilvl w:val="0"/>
          <w:numId w:val="21"/>
        </w:numPr>
        <w:rPr>
          <w:sz w:val="28"/>
          <w:szCs w:val="28"/>
        </w:rPr>
      </w:pPr>
      <w:r w:rsidRPr="00CF1A69">
        <w:rPr>
          <w:sz w:val="28"/>
          <w:szCs w:val="28"/>
        </w:rPr>
        <w:t>Laura Matrajt, Elizabeth R. Brown, Dobromir Dimitrov, Holly Janes, The role of antiviral treatment in curbing the COVID-19 pandemic: a modeling study. doi: </w:t>
      </w:r>
      <w:hyperlink r:id="rId35" w:history="1">
        <w:r w:rsidRPr="00CF1A69">
          <w:rPr>
            <w:rStyle w:val="Hyperlink"/>
            <w:color w:val="auto"/>
            <w:sz w:val="28"/>
            <w:szCs w:val="28"/>
            <w:u w:val="none"/>
          </w:rPr>
          <w:t>https://doi.org/10.1101/2021.11.10.21266139</w:t>
        </w:r>
      </w:hyperlink>
    </w:p>
    <w:p w:rsidR="00CC042E" w:rsidRPr="00CF1A69" w:rsidRDefault="00CC042E" w:rsidP="00CF1A69">
      <w:pPr>
        <w:pStyle w:val="ListParagraph"/>
        <w:numPr>
          <w:ilvl w:val="0"/>
          <w:numId w:val="21"/>
        </w:numPr>
        <w:jc w:val="both"/>
        <w:rPr>
          <w:rStyle w:val="Hyperlink"/>
          <w:color w:val="auto"/>
          <w:sz w:val="28"/>
          <w:szCs w:val="28"/>
          <w:u w:val="none"/>
        </w:rPr>
      </w:pPr>
      <w:r w:rsidRPr="00CF1A69">
        <w:rPr>
          <w:sz w:val="28"/>
          <w:szCs w:val="28"/>
        </w:rPr>
        <w:lastRenderedPageBreak/>
        <w:t xml:space="preserve">Merck and Ridgeback’s Investigational Oral Antiviral Molnupiravir Reduced the Risk of Hospitalization or Death by Approximately 50 Percent Compared to Placebo for Patients with Mild or Moderate COVID-19 in Positive Interim Analysis of Phase 3 Study. Link: </w:t>
      </w:r>
      <w:hyperlink r:id="rId36" w:history="1">
        <w:r w:rsidRPr="00CF1A69">
          <w:rPr>
            <w:rStyle w:val="Hyperlink"/>
            <w:color w:val="auto"/>
            <w:sz w:val="28"/>
            <w:szCs w:val="28"/>
            <w:u w:val="none"/>
          </w:rPr>
          <w:t>https://www.merck.com/news/merck-and-ridgebacks-investigational-oral-antiviral-molnupiravir-reduced-the-risk-of-hospitalization-or-death-by-approximately-50-percent-compared-to-placebo-for-patients-with-mild-or-moderat/</w:t>
        </w:r>
      </w:hyperlink>
    </w:p>
    <w:p w:rsidR="00FD66DC" w:rsidRPr="00CF1A69" w:rsidRDefault="00FD66DC" w:rsidP="00CF5F8C">
      <w:pPr>
        <w:pStyle w:val="ListParagraph"/>
        <w:numPr>
          <w:ilvl w:val="0"/>
          <w:numId w:val="21"/>
        </w:numPr>
        <w:rPr>
          <w:sz w:val="28"/>
          <w:szCs w:val="28"/>
        </w:rPr>
      </w:pPr>
      <w:r w:rsidRPr="00CF1A69">
        <w:rPr>
          <w:sz w:val="28"/>
          <w:szCs w:val="28"/>
        </w:rPr>
        <w:t>Ionescu MI: An Overview of the Crystallized Structures of the SARS-CoV-2. Protein J. 2020 Dec;39(6):600-618. doi: 10.1007/s10930-020-09933-w. Epub 2020 Oct 24.</w:t>
      </w:r>
    </w:p>
    <w:p w:rsidR="00FD66DC" w:rsidRPr="00CF1A69" w:rsidRDefault="006E406C" w:rsidP="00CF5F8C">
      <w:pPr>
        <w:pStyle w:val="ListParagraph"/>
        <w:numPr>
          <w:ilvl w:val="0"/>
          <w:numId w:val="21"/>
        </w:numPr>
        <w:rPr>
          <w:sz w:val="28"/>
          <w:szCs w:val="28"/>
        </w:rPr>
      </w:pPr>
      <w:hyperlink r:id="rId37" w:history="1">
        <w:r w:rsidR="00FD66DC" w:rsidRPr="00CF1A69">
          <w:rPr>
            <w:rStyle w:val="Hyperlink"/>
            <w:color w:val="auto"/>
            <w:sz w:val="28"/>
            <w:szCs w:val="28"/>
            <w:u w:val="none"/>
          </w:rPr>
          <w:t>Ting Yu</w:t>
        </w:r>
      </w:hyperlink>
      <w:r w:rsidR="00FD66DC" w:rsidRPr="00CF1A69">
        <w:rPr>
          <w:sz w:val="28"/>
          <w:szCs w:val="28"/>
        </w:rPr>
        <w:t xml:space="preserve">, et al. COVID-19 patients benefit from early antiviral treatment: A comparative, retrospective study. Doi: </w:t>
      </w:r>
      <w:hyperlink r:id="rId38" w:history="1">
        <w:r w:rsidR="00FD66DC" w:rsidRPr="00CF1A69">
          <w:rPr>
            <w:rStyle w:val="Hyperlink"/>
            <w:color w:val="auto"/>
            <w:sz w:val="28"/>
            <w:szCs w:val="28"/>
            <w:u w:val="none"/>
          </w:rPr>
          <w:t>https://doi.org/10.1002/jmv.26129</w:t>
        </w:r>
      </w:hyperlink>
    </w:p>
    <w:p w:rsidR="00FD66DC" w:rsidRPr="00CF1A69" w:rsidRDefault="00FD66DC" w:rsidP="00CF5F8C">
      <w:pPr>
        <w:pStyle w:val="ListParagraph"/>
        <w:numPr>
          <w:ilvl w:val="0"/>
          <w:numId w:val="21"/>
        </w:numPr>
        <w:rPr>
          <w:sz w:val="28"/>
          <w:szCs w:val="28"/>
        </w:rPr>
      </w:pPr>
      <w:r w:rsidRPr="00CF1A69">
        <w:rPr>
          <w:sz w:val="28"/>
          <w:szCs w:val="28"/>
        </w:rPr>
        <w:t>Serap Şimşek-Yavuz et al. Antiviral treatment of COVID-19: An update. DOI: </w:t>
      </w:r>
      <w:hyperlink r:id="rId39" w:tgtFrame="_blank" w:history="1">
        <w:r w:rsidRPr="00CF1A69">
          <w:rPr>
            <w:rStyle w:val="Hyperlink"/>
            <w:color w:val="auto"/>
            <w:sz w:val="28"/>
            <w:szCs w:val="28"/>
            <w:u w:val="none"/>
          </w:rPr>
          <w:t>10.3906/sag-2106-250</w:t>
        </w:r>
      </w:hyperlink>
    </w:p>
    <w:p w:rsidR="00FD66DC" w:rsidRPr="00CF1A69" w:rsidRDefault="00FD66DC" w:rsidP="00CF5F8C">
      <w:pPr>
        <w:pStyle w:val="ListParagraph"/>
        <w:numPr>
          <w:ilvl w:val="0"/>
          <w:numId w:val="21"/>
        </w:numPr>
        <w:rPr>
          <w:sz w:val="28"/>
          <w:szCs w:val="28"/>
        </w:rPr>
      </w:pPr>
      <w:r w:rsidRPr="00CF1A69">
        <w:rPr>
          <w:sz w:val="28"/>
          <w:szCs w:val="28"/>
        </w:rPr>
        <w:t>WHO, Therapeutics and COVID-19: living guideline, 24 September 2021.</w:t>
      </w:r>
    </w:p>
    <w:p w:rsidR="00FD66DC" w:rsidRPr="00CF1A69" w:rsidRDefault="00FD66DC" w:rsidP="00CF5F8C">
      <w:pPr>
        <w:pStyle w:val="ListParagraph"/>
        <w:numPr>
          <w:ilvl w:val="0"/>
          <w:numId w:val="21"/>
        </w:numPr>
        <w:rPr>
          <w:sz w:val="28"/>
          <w:szCs w:val="28"/>
        </w:rPr>
      </w:pPr>
      <w:r w:rsidRPr="00CF1A69">
        <w:rPr>
          <w:sz w:val="28"/>
          <w:szCs w:val="28"/>
        </w:rPr>
        <w:t xml:space="preserve">WHO, Coronavirus disease (COVID-19). Link: </w:t>
      </w:r>
      <w:hyperlink r:id="rId40" w:anchor="tab=tab_3" w:history="1">
        <w:r w:rsidRPr="00CF1A69">
          <w:rPr>
            <w:rStyle w:val="Hyperlink"/>
            <w:color w:val="auto"/>
            <w:sz w:val="28"/>
            <w:szCs w:val="28"/>
            <w:u w:val="none"/>
          </w:rPr>
          <w:t>https://www.who.int/health-topics/coronavirus#tab=tab_3</w:t>
        </w:r>
      </w:hyperlink>
    </w:p>
    <w:p w:rsidR="00CC042E" w:rsidRPr="00CF1A69" w:rsidRDefault="00CC042E" w:rsidP="00CF5F8C">
      <w:pPr>
        <w:pStyle w:val="ListParagraph"/>
        <w:numPr>
          <w:ilvl w:val="0"/>
          <w:numId w:val="21"/>
        </w:numPr>
        <w:rPr>
          <w:sz w:val="28"/>
          <w:szCs w:val="28"/>
        </w:rPr>
      </w:pPr>
      <w:r w:rsidRPr="00CF1A69">
        <w:rPr>
          <w:sz w:val="28"/>
          <w:szCs w:val="28"/>
        </w:rPr>
        <w:t xml:space="preserve">Pfizer, Pfizer to provide u.s. government with 10 million treatment courses of investigational oral antiviral candidate to help combat covid-19. Link: </w:t>
      </w:r>
      <w:hyperlink r:id="rId41" w:history="1">
        <w:r w:rsidRPr="00CF1A69">
          <w:rPr>
            <w:rStyle w:val="Hyperlink"/>
            <w:color w:val="auto"/>
            <w:sz w:val="28"/>
            <w:szCs w:val="28"/>
            <w:u w:val="none"/>
          </w:rPr>
          <w:t>https://www.pfizer.com/news/press-release/press-release-detail/pfizer-provide-us-government-10-million-treatment-courses</w:t>
        </w:r>
      </w:hyperlink>
    </w:p>
    <w:p w:rsidR="00223387" w:rsidRPr="00CF1A69" w:rsidRDefault="00223387" w:rsidP="00CF1A69">
      <w:pPr>
        <w:pStyle w:val="ListParagraph"/>
        <w:numPr>
          <w:ilvl w:val="0"/>
          <w:numId w:val="21"/>
        </w:numPr>
        <w:jc w:val="both"/>
        <w:rPr>
          <w:sz w:val="28"/>
          <w:szCs w:val="28"/>
        </w:rPr>
      </w:pPr>
      <w:r w:rsidRPr="00CF1A69">
        <w:rPr>
          <w:sz w:val="28"/>
          <w:szCs w:val="28"/>
        </w:rPr>
        <w:t>Prizer. Pfizer Initiates Phase 1 Study Of Novel Oral Antiviral Therapeutic Agent Against SARS-CoV-2. Link: https://www.pfizer.com/news/press-release/press-release-detail/pfizer-initiates-phase-1-study-novel-oral-antiviral</w:t>
      </w:r>
    </w:p>
    <w:p w:rsidR="00223387" w:rsidRPr="00CF1A69" w:rsidRDefault="00223387" w:rsidP="00CF5F8C">
      <w:pPr>
        <w:pStyle w:val="ListParagraph"/>
        <w:numPr>
          <w:ilvl w:val="0"/>
          <w:numId w:val="21"/>
        </w:numPr>
      </w:pPr>
      <w:r w:rsidRPr="00CF1A69">
        <w:rPr>
          <w:sz w:val="28"/>
          <w:szCs w:val="28"/>
        </w:rPr>
        <w:t xml:space="preserve">Pfizer Seeks Emergency Use Authorization For Novel COVID-19 Oral Antiviral Candidate. Link: </w:t>
      </w:r>
      <w:hyperlink r:id="rId42" w:history="1">
        <w:r w:rsidRPr="00CF1A69">
          <w:rPr>
            <w:rStyle w:val="Hyperlink"/>
            <w:color w:val="auto"/>
            <w:sz w:val="28"/>
            <w:szCs w:val="28"/>
            <w:u w:val="none"/>
          </w:rPr>
          <w:t>https://www.pfizer.com/news/press-release/press-release-detail/pfizer-seeks-emergency-use-authorization-novel-covid-19</w:t>
        </w:r>
      </w:hyperlink>
    </w:p>
    <w:p w:rsidR="00FD66DC" w:rsidRPr="00CF1A69" w:rsidRDefault="00FD66DC" w:rsidP="00735094">
      <w:pPr>
        <w:pStyle w:val="ListParagraph"/>
        <w:numPr>
          <w:ilvl w:val="0"/>
          <w:numId w:val="21"/>
        </w:numPr>
        <w:rPr>
          <w:rStyle w:val="Hyperlink"/>
          <w:rFonts w:cs="Times New Roman"/>
          <w:color w:val="auto"/>
          <w:sz w:val="28"/>
          <w:szCs w:val="28"/>
          <w:u w:val="none"/>
        </w:rPr>
      </w:pPr>
      <w:r w:rsidRPr="00CF1A69">
        <w:rPr>
          <w:rFonts w:cs="Times New Roman"/>
          <w:sz w:val="28"/>
          <w:szCs w:val="28"/>
        </w:rPr>
        <w:t>Pfizer. Pfizer starts global phase 2/3 EPIC-PEP study of novel covid-19 oral antiviral candidate for post-exposure prophylaxis in adults. </w:t>
      </w:r>
      <w:hyperlink r:id="rId43" w:history="1">
        <w:r w:rsidRPr="00CF1A69">
          <w:rPr>
            <w:rStyle w:val="Hyperlink"/>
            <w:rFonts w:cs="Times New Roman"/>
            <w:color w:val="auto"/>
            <w:sz w:val="28"/>
            <w:szCs w:val="28"/>
            <w:u w:val="none"/>
          </w:rPr>
          <w:t>https://www.pfizer.com/news/press-release/press-release-detail/pfizer-starts-global-phase-23-epic-pep-study-novel-covid-19</w:t>
        </w:r>
      </w:hyperlink>
    </w:p>
    <w:p w:rsidR="00FD66DC" w:rsidRPr="00CF1A69" w:rsidRDefault="00FD66DC" w:rsidP="00CF5F8C">
      <w:pPr>
        <w:pStyle w:val="ListParagraph"/>
        <w:numPr>
          <w:ilvl w:val="0"/>
          <w:numId w:val="21"/>
        </w:numPr>
        <w:jc w:val="both"/>
        <w:rPr>
          <w:rStyle w:val="Hyperlink"/>
          <w:rFonts w:cs="Times New Roman"/>
          <w:color w:val="auto"/>
          <w:sz w:val="28"/>
          <w:szCs w:val="28"/>
          <w:u w:val="none"/>
        </w:rPr>
      </w:pPr>
      <w:r w:rsidRPr="00CF1A69">
        <w:rPr>
          <w:rFonts w:cs="Times New Roman"/>
          <w:sz w:val="28"/>
          <w:szCs w:val="28"/>
        </w:rPr>
        <w:t xml:space="preserve">Pfizer. </w:t>
      </w:r>
      <w:hyperlink r:id="rId44" w:history="1">
        <w:r w:rsidRPr="00CF1A69">
          <w:rPr>
            <w:rStyle w:val="Hyperlink"/>
            <w:rFonts w:cs="Times New Roman"/>
            <w:bCs/>
            <w:color w:val="auto"/>
            <w:sz w:val="28"/>
            <w:szCs w:val="28"/>
            <w:u w:val="none"/>
          </w:rPr>
          <w:t>Pfizer’s Novel COVID-19 Oral Antiviral Treatment Candidate Reduced Risk of Hospitalization or Death by 89% in Interim Analysis of Phase 2/3 EPIC-HR Study</w:t>
        </w:r>
      </w:hyperlink>
      <w:r w:rsidRPr="00CF1A69">
        <w:rPr>
          <w:rStyle w:val="Strong"/>
          <w:rFonts w:cs="Times New Roman"/>
          <w:sz w:val="28"/>
          <w:szCs w:val="28"/>
          <w:shd w:val="clear" w:color="auto" w:fill="F0F0F0"/>
        </w:rPr>
        <w:t xml:space="preserve">. </w:t>
      </w:r>
      <w:hyperlink r:id="rId45" w:history="1">
        <w:r w:rsidRPr="00CF1A69">
          <w:rPr>
            <w:rStyle w:val="Hyperlink"/>
            <w:rFonts w:cs="Times New Roman"/>
            <w:color w:val="auto"/>
            <w:sz w:val="28"/>
            <w:szCs w:val="28"/>
            <w:u w:val="none"/>
          </w:rPr>
          <w:t>https://www.pfizer.com/news/press-release/press-release-detail/pfizers-novel-covid-19-oral-antiviral-treatment-candidate</w:t>
        </w:r>
      </w:hyperlink>
    </w:p>
    <w:p w:rsidR="005D79B7" w:rsidRPr="00CF1A69" w:rsidRDefault="005D79B7" w:rsidP="00AD3CD1">
      <w:pPr>
        <w:pStyle w:val="ListParagraph"/>
        <w:numPr>
          <w:ilvl w:val="0"/>
          <w:numId w:val="21"/>
        </w:numPr>
        <w:ind w:left="714" w:hanging="357"/>
        <w:jc w:val="both"/>
        <w:rPr>
          <w:rFonts w:cs="Times New Roman"/>
          <w:sz w:val="28"/>
          <w:szCs w:val="28"/>
        </w:rPr>
      </w:pPr>
      <w:r w:rsidRPr="00CF1A69">
        <w:rPr>
          <w:rFonts w:cs="Times New Roman"/>
          <w:sz w:val="28"/>
          <w:szCs w:val="28"/>
        </w:rPr>
        <w:lastRenderedPageBreak/>
        <w:t>Prizer, Pfizer’s novel covid-19 oral antiviral treatment candidate reduced risk of hospitalization or death by 89% in interim analysis of phase 2/3 EPIC-HR study. Link: https://www.pfizer.com/news/press-release/press-release-detail/pfizers-novel-covid-19-oral-antiviral-treatment-candidate.</w:t>
      </w:r>
    </w:p>
    <w:p w:rsidR="00AD3CD1" w:rsidRPr="00CF1A69" w:rsidRDefault="00FD66DC" w:rsidP="00AD3CD1">
      <w:pPr>
        <w:pStyle w:val="ListParagraph"/>
        <w:numPr>
          <w:ilvl w:val="0"/>
          <w:numId w:val="21"/>
        </w:numPr>
        <w:shd w:val="clear" w:color="auto" w:fill="FFFFFF"/>
        <w:ind w:left="714" w:hanging="357"/>
        <w:jc w:val="both"/>
        <w:rPr>
          <w:rFonts w:cs="Times New Roman"/>
          <w:bCs/>
          <w:sz w:val="28"/>
          <w:szCs w:val="28"/>
        </w:rPr>
      </w:pPr>
      <w:r w:rsidRPr="00CF1A69">
        <w:rPr>
          <w:rFonts w:cs="Times New Roman"/>
          <w:sz w:val="28"/>
          <w:szCs w:val="28"/>
        </w:rPr>
        <w:t>Owen, D. R., et al. "An oral SARS-CoV-2 Mpro inhibitor clinical candidate for the treatment of COVID-19. medRxiv 2021." Availabel from 10.2021.07: 28-21261232. doi: </w:t>
      </w:r>
      <w:hyperlink r:id="rId46" w:history="1">
        <w:r w:rsidR="005D79B7" w:rsidRPr="00CF1A69">
          <w:rPr>
            <w:rStyle w:val="Hyperlink"/>
            <w:rFonts w:cs="Times New Roman"/>
            <w:color w:val="auto"/>
            <w:sz w:val="28"/>
            <w:szCs w:val="28"/>
            <w:u w:val="none"/>
          </w:rPr>
          <w:t>https://doi.org/10.1101/2021.07.28.21261232</w:t>
        </w:r>
      </w:hyperlink>
    </w:p>
    <w:p w:rsidR="005D79B7" w:rsidRPr="00CF1A69" w:rsidRDefault="005D79B7" w:rsidP="00AD3CD1">
      <w:pPr>
        <w:pStyle w:val="ListParagraph"/>
        <w:numPr>
          <w:ilvl w:val="0"/>
          <w:numId w:val="21"/>
        </w:numPr>
        <w:shd w:val="clear" w:color="auto" w:fill="FFFFFF"/>
        <w:ind w:left="714" w:hanging="357"/>
        <w:jc w:val="both"/>
        <w:rPr>
          <w:rFonts w:cs="Times New Roman"/>
          <w:bCs/>
          <w:sz w:val="28"/>
          <w:szCs w:val="28"/>
        </w:rPr>
      </w:pPr>
      <w:r w:rsidRPr="00CF1A69">
        <w:rPr>
          <w:rFonts w:cs="Times New Roman"/>
          <w:bCs/>
          <w:sz w:val="28"/>
          <w:szCs w:val="28"/>
        </w:rPr>
        <w:t xml:space="preserve">Johns Hopkins, Antivirals and the Covid Treatment Landscape. Link: </w:t>
      </w:r>
      <w:hyperlink r:id="rId47" w:history="1">
        <w:r w:rsidRPr="00CF1A69">
          <w:rPr>
            <w:rStyle w:val="Hyperlink"/>
            <w:rFonts w:cs="Times New Roman"/>
            <w:bCs/>
            <w:color w:val="auto"/>
            <w:sz w:val="28"/>
            <w:szCs w:val="28"/>
            <w:u w:val="none"/>
          </w:rPr>
          <w:t>https://publichealth.jhu.edu/2021/antivirals-and-the-covid-treatment-landscape</w:t>
        </w:r>
      </w:hyperlink>
    </w:p>
    <w:p w:rsidR="005D79B7" w:rsidRPr="00CF1A69" w:rsidRDefault="005D79B7" w:rsidP="005D79B7">
      <w:pPr>
        <w:pStyle w:val="ListParagraph"/>
        <w:jc w:val="both"/>
        <w:rPr>
          <w:rFonts w:cs="Times New Roman"/>
          <w:sz w:val="28"/>
          <w:szCs w:val="28"/>
        </w:rPr>
      </w:pPr>
    </w:p>
    <w:p w:rsidR="00223387" w:rsidRPr="00223387" w:rsidRDefault="00223387" w:rsidP="00223387">
      <w:pPr>
        <w:rPr>
          <w:rFonts w:cs="Times New Roman"/>
          <w:sz w:val="28"/>
          <w:szCs w:val="28"/>
        </w:rPr>
      </w:pPr>
    </w:p>
    <w:sectPr w:rsidR="00223387" w:rsidRPr="00223387" w:rsidSect="002425B6">
      <w:headerReference w:type="default" r:id="rId48"/>
      <w:footerReference w:type="default" r:id="rId49"/>
      <w:pgSz w:w="12240" w:h="15840"/>
      <w:pgMar w:top="851" w:right="1041"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06C" w:rsidRDefault="006E406C" w:rsidP="002A0D6B">
      <w:pPr>
        <w:spacing w:after="0" w:line="240" w:lineRule="auto"/>
      </w:pPr>
      <w:r>
        <w:separator/>
      </w:r>
    </w:p>
  </w:endnote>
  <w:endnote w:type="continuationSeparator" w:id="0">
    <w:p w:rsidR="006E406C" w:rsidRDefault="006E406C" w:rsidP="002A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09127"/>
      <w:docPartObj>
        <w:docPartGallery w:val="Page Numbers (Bottom of Page)"/>
        <w:docPartUnique/>
      </w:docPartObj>
    </w:sdtPr>
    <w:sdtEndPr>
      <w:rPr>
        <w:noProof/>
      </w:rPr>
    </w:sdtEndPr>
    <w:sdtContent>
      <w:p w:rsidR="00327A97" w:rsidRDefault="00327A97">
        <w:pPr>
          <w:pStyle w:val="Footer"/>
          <w:jc w:val="center"/>
        </w:pPr>
        <w:r>
          <w:fldChar w:fldCharType="begin"/>
        </w:r>
        <w:r>
          <w:instrText xml:space="preserve"> PAGE   \* MERGEFORMAT </w:instrText>
        </w:r>
        <w:r>
          <w:fldChar w:fldCharType="separate"/>
        </w:r>
        <w:r w:rsidR="006948C0">
          <w:rPr>
            <w:noProof/>
          </w:rPr>
          <w:t>1</w:t>
        </w:r>
        <w:r>
          <w:rPr>
            <w:noProof/>
          </w:rPr>
          <w:fldChar w:fldCharType="end"/>
        </w:r>
      </w:p>
    </w:sdtContent>
  </w:sdt>
  <w:p w:rsidR="00694015" w:rsidRDefault="00694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06C" w:rsidRDefault="006E406C" w:rsidP="002A0D6B">
      <w:pPr>
        <w:spacing w:after="0" w:line="240" w:lineRule="auto"/>
      </w:pPr>
      <w:r>
        <w:separator/>
      </w:r>
    </w:p>
  </w:footnote>
  <w:footnote w:type="continuationSeparator" w:id="0">
    <w:p w:rsidR="006E406C" w:rsidRDefault="006E406C" w:rsidP="002A0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15" w:rsidRDefault="00694015">
    <w:pPr>
      <w:pStyle w:val="Header"/>
    </w:pPr>
  </w:p>
  <w:p w:rsidR="00694015" w:rsidRDefault="006940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CC1"/>
    <w:multiLevelType w:val="multilevel"/>
    <w:tmpl w:val="EE40D2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7E16AD6"/>
    <w:multiLevelType w:val="hybridMultilevel"/>
    <w:tmpl w:val="F104F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8496E"/>
    <w:multiLevelType w:val="multilevel"/>
    <w:tmpl w:val="9296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C0457"/>
    <w:multiLevelType w:val="hybridMultilevel"/>
    <w:tmpl w:val="434C2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E01626"/>
    <w:multiLevelType w:val="hybridMultilevel"/>
    <w:tmpl w:val="52920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C7CC5"/>
    <w:multiLevelType w:val="hybridMultilevel"/>
    <w:tmpl w:val="A224D26E"/>
    <w:lvl w:ilvl="0" w:tplc="971691A2">
      <w:start w:val="2"/>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F97699D"/>
    <w:multiLevelType w:val="multilevel"/>
    <w:tmpl w:val="0080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037431"/>
    <w:multiLevelType w:val="multilevel"/>
    <w:tmpl w:val="B606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611466"/>
    <w:multiLevelType w:val="hybridMultilevel"/>
    <w:tmpl w:val="C3F4DCFC"/>
    <w:lvl w:ilvl="0" w:tplc="17D82646">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D72FD5"/>
    <w:multiLevelType w:val="multilevel"/>
    <w:tmpl w:val="5CBE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3F0185"/>
    <w:multiLevelType w:val="hybridMultilevel"/>
    <w:tmpl w:val="61C68640"/>
    <w:lvl w:ilvl="0" w:tplc="848218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B51F5"/>
    <w:multiLevelType w:val="hybridMultilevel"/>
    <w:tmpl w:val="7A8CC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4566B3"/>
    <w:multiLevelType w:val="hybridMultilevel"/>
    <w:tmpl w:val="91DE7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4769C"/>
    <w:multiLevelType w:val="hybridMultilevel"/>
    <w:tmpl w:val="0A52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BD5F9A"/>
    <w:multiLevelType w:val="hybridMultilevel"/>
    <w:tmpl w:val="0568C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45080"/>
    <w:multiLevelType w:val="hybridMultilevel"/>
    <w:tmpl w:val="35CC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9A43D2"/>
    <w:multiLevelType w:val="hybridMultilevel"/>
    <w:tmpl w:val="1BF04644"/>
    <w:lvl w:ilvl="0" w:tplc="46B86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B35C45"/>
    <w:multiLevelType w:val="hybridMultilevel"/>
    <w:tmpl w:val="831EB9D8"/>
    <w:lvl w:ilvl="0" w:tplc="485EAC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3B0973"/>
    <w:multiLevelType w:val="multilevel"/>
    <w:tmpl w:val="62C82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BCD67C9"/>
    <w:multiLevelType w:val="hybridMultilevel"/>
    <w:tmpl w:val="70B66D0C"/>
    <w:lvl w:ilvl="0" w:tplc="4172FFF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40388A"/>
    <w:multiLevelType w:val="hybridMultilevel"/>
    <w:tmpl w:val="17486F34"/>
    <w:lvl w:ilvl="0" w:tplc="CD48B8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16"/>
  </w:num>
  <w:num w:numId="4">
    <w:abstractNumId w:val="19"/>
  </w:num>
  <w:num w:numId="5">
    <w:abstractNumId w:val="7"/>
  </w:num>
  <w:num w:numId="6">
    <w:abstractNumId w:val="9"/>
  </w:num>
  <w:num w:numId="7">
    <w:abstractNumId w:val="1"/>
  </w:num>
  <w:num w:numId="8">
    <w:abstractNumId w:val="17"/>
  </w:num>
  <w:num w:numId="9">
    <w:abstractNumId w:val="20"/>
  </w:num>
  <w:num w:numId="10">
    <w:abstractNumId w:val="2"/>
  </w:num>
  <w:num w:numId="11">
    <w:abstractNumId w:val="5"/>
  </w:num>
  <w:num w:numId="12">
    <w:abstractNumId w:val="12"/>
  </w:num>
  <w:num w:numId="13">
    <w:abstractNumId w:val="11"/>
  </w:num>
  <w:num w:numId="14">
    <w:abstractNumId w:val="18"/>
  </w:num>
  <w:num w:numId="15">
    <w:abstractNumId w:val="4"/>
  </w:num>
  <w:num w:numId="16">
    <w:abstractNumId w:val="10"/>
  </w:num>
  <w:num w:numId="17">
    <w:abstractNumId w:val="15"/>
  </w:num>
  <w:num w:numId="18">
    <w:abstractNumId w:val="0"/>
  </w:num>
  <w:num w:numId="19">
    <w:abstractNumId w:val="6"/>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6B"/>
    <w:rsid w:val="00006C78"/>
    <w:rsid w:val="0001408F"/>
    <w:rsid w:val="00025CAD"/>
    <w:rsid w:val="00030381"/>
    <w:rsid w:val="00032801"/>
    <w:rsid w:val="00033F67"/>
    <w:rsid w:val="00041129"/>
    <w:rsid w:val="00043253"/>
    <w:rsid w:val="00050C12"/>
    <w:rsid w:val="00060871"/>
    <w:rsid w:val="000652D7"/>
    <w:rsid w:val="00067BBC"/>
    <w:rsid w:val="00067F4E"/>
    <w:rsid w:val="00067FDC"/>
    <w:rsid w:val="00080A8D"/>
    <w:rsid w:val="00081FF0"/>
    <w:rsid w:val="00086AF0"/>
    <w:rsid w:val="000905B1"/>
    <w:rsid w:val="00095ECD"/>
    <w:rsid w:val="000A099C"/>
    <w:rsid w:val="000A4CD1"/>
    <w:rsid w:val="000A516B"/>
    <w:rsid w:val="000B304F"/>
    <w:rsid w:val="000C6F41"/>
    <w:rsid w:val="000C7BBD"/>
    <w:rsid w:val="000D07C3"/>
    <w:rsid w:val="000D33CC"/>
    <w:rsid w:val="000D6528"/>
    <w:rsid w:val="000E17C6"/>
    <w:rsid w:val="000E2EED"/>
    <w:rsid w:val="000E7C72"/>
    <w:rsid w:val="000F24A9"/>
    <w:rsid w:val="00102CEB"/>
    <w:rsid w:val="00102DFE"/>
    <w:rsid w:val="0010360B"/>
    <w:rsid w:val="00105DAA"/>
    <w:rsid w:val="0010618F"/>
    <w:rsid w:val="0011631C"/>
    <w:rsid w:val="001163D7"/>
    <w:rsid w:val="00123DAD"/>
    <w:rsid w:val="00124BB2"/>
    <w:rsid w:val="001251AF"/>
    <w:rsid w:val="00126149"/>
    <w:rsid w:val="00127B5F"/>
    <w:rsid w:val="00130D84"/>
    <w:rsid w:val="001342AA"/>
    <w:rsid w:val="0013633E"/>
    <w:rsid w:val="0014287B"/>
    <w:rsid w:val="00143324"/>
    <w:rsid w:val="0016006D"/>
    <w:rsid w:val="00166C4A"/>
    <w:rsid w:val="00176BAF"/>
    <w:rsid w:val="00182280"/>
    <w:rsid w:val="00196918"/>
    <w:rsid w:val="001A2D80"/>
    <w:rsid w:val="001A75D4"/>
    <w:rsid w:val="001B0466"/>
    <w:rsid w:val="001B694E"/>
    <w:rsid w:val="001C123E"/>
    <w:rsid w:val="001C176E"/>
    <w:rsid w:val="001C2713"/>
    <w:rsid w:val="001C39BB"/>
    <w:rsid w:val="001C46F2"/>
    <w:rsid w:val="001C7DDB"/>
    <w:rsid w:val="001D0304"/>
    <w:rsid w:val="001D2056"/>
    <w:rsid w:val="001D662F"/>
    <w:rsid w:val="001D6D5A"/>
    <w:rsid w:val="001E00C3"/>
    <w:rsid w:val="001F00D5"/>
    <w:rsid w:val="001F6871"/>
    <w:rsid w:val="0020389F"/>
    <w:rsid w:val="002143CB"/>
    <w:rsid w:val="00221BD9"/>
    <w:rsid w:val="0022272B"/>
    <w:rsid w:val="00223387"/>
    <w:rsid w:val="00223C31"/>
    <w:rsid w:val="00224733"/>
    <w:rsid w:val="00241548"/>
    <w:rsid w:val="002425B6"/>
    <w:rsid w:val="002605F4"/>
    <w:rsid w:val="00261695"/>
    <w:rsid w:val="00262F8E"/>
    <w:rsid w:val="0026431A"/>
    <w:rsid w:val="00265D32"/>
    <w:rsid w:val="00267D66"/>
    <w:rsid w:val="00270A9D"/>
    <w:rsid w:val="00274A63"/>
    <w:rsid w:val="00281C48"/>
    <w:rsid w:val="00291485"/>
    <w:rsid w:val="002A0D6B"/>
    <w:rsid w:val="002B2D84"/>
    <w:rsid w:val="002B3549"/>
    <w:rsid w:val="002B537E"/>
    <w:rsid w:val="002B651D"/>
    <w:rsid w:val="002B7ACE"/>
    <w:rsid w:val="002C2483"/>
    <w:rsid w:val="002C51AB"/>
    <w:rsid w:val="002C5382"/>
    <w:rsid w:val="002C72CD"/>
    <w:rsid w:val="002E56FB"/>
    <w:rsid w:val="002E611E"/>
    <w:rsid w:val="002F07A4"/>
    <w:rsid w:val="002F33D3"/>
    <w:rsid w:val="002F4AC3"/>
    <w:rsid w:val="002F704B"/>
    <w:rsid w:val="00303EAE"/>
    <w:rsid w:val="00304635"/>
    <w:rsid w:val="00305BAB"/>
    <w:rsid w:val="003075C8"/>
    <w:rsid w:val="003178A9"/>
    <w:rsid w:val="00323BF7"/>
    <w:rsid w:val="00327A97"/>
    <w:rsid w:val="0033368B"/>
    <w:rsid w:val="00334914"/>
    <w:rsid w:val="00334BD2"/>
    <w:rsid w:val="00340261"/>
    <w:rsid w:val="003462CE"/>
    <w:rsid w:val="0034749C"/>
    <w:rsid w:val="00356908"/>
    <w:rsid w:val="00364706"/>
    <w:rsid w:val="003649BA"/>
    <w:rsid w:val="003673BD"/>
    <w:rsid w:val="00370D16"/>
    <w:rsid w:val="0037736C"/>
    <w:rsid w:val="00381E74"/>
    <w:rsid w:val="00383FC7"/>
    <w:rsid w:val="00386077"/>
    <w:rsid w:val="00391199"/>
    <w:rsid w:val="00395B29"/>
    <w:rsid w:val="0039793F"/>
    <w:rsid w:val="003A2058"/>
    <w:rsid w:val="003A3F34"/>
    <w:rsid w:val="003B2CDE"/>
    <w:rsid w:val="003C14AC"/>
    <w:rsid w:val="003C255E"/>
    <w:rsid w:val="003C3B08"/>
    <w:rsid w:val="003C5B05"/>
    <w:rsid w:val="003D2700"/>
    <w:rsid w:val="003D410A"/>
    <w:rsid w:val="003D497B"/>
    <w:rsid w:val="003D4C5F"/>
    <w:rsid w:val="003F0B1A"/>
    <w:rsid w:val="004061F4"/>
    <w:rsid w:val="00431872"/>
    <w:rsid w:val="00440E99"/>
    <w:rsid w:val="0044341F"/>
    <w:rsid w:val="00457900"/>
    <w:rsid w:val="0046203E"/>
    <w:rsid w:val="00462A63"/>
    <w:rsid w:val="00470E2D"/>
    <w:rsid w:val="004713A2"/>
    <w:rsid w:val="00471F75"/>
    <w:rsid w:val="004766D4"/>
    <w:rsid w:val="0048389E"/>
    <w:rsid w:val="0049575F"/>
    <w:rsid w:val="004A356B"/>
    <w:rsid w:val="004A7E53"/>
    <w:rsid w:val="004B4364"/>
    <w:rsid w:val="004B77BC"/>
    <w:rsid w:val="004C1FC0"/>
    <w:rsid w:val="004C7632"/>
    <w:rsid w:val="004D441A"/>
    <w:rsid w:val="004D7B25"/>
    <w:rsid w:val="004E4510"/>
    <w:rsid w:val="004F18DE"/>
    <w:rsid w:val="004F57A7"/>
    <w:rsid w:val="004F7C3D"/>
    <w:rsid w:val="00505201"/>
    <w:rsid w:val="00505FD5"/>
    <w:rsid w:val="005144BA"/>
    <w:rsid w:val="00514B5B"/>
    <w:rsid w:val="00516C9F"/>
    <w:rsid w:val="00516F9A"/>
    <w:rsid w:val="0052674E"/>
    <w:rsid w:val="00532459"/>
    <w:rsid w:val="00533D7A"/>
    <w:rsid w:val="00533E3F"/>
    <w:rsid w:val="00535755"/>
    <w:rsid w:val="00536AF5"/>
    <w:rsid w:val="0054500D"/>
    <w:rsid w:val="005476C4"/>
    <w:rsid w:val="00547A68"/>
    <w:rsid w:val="005546FD"/>
    <w:rsid w:val="0056540A"/>
    <w:rsid w:val="00565B1C"/>
    <w:rsid w:val="0057124B"/>
    <w:rsid w:val="0058322B"/>
    <w:rsid w:val="00583A29"/>
    <w:rsid w:val="00597C76"/>
    <w:rsid w:val="005A6308"/>
    <w:rsid w:val="005B5809"/>
    <w:rsid w:val="005C38CB"/>
    <w:rsid w:val="005C43CA"/>
    <w:rsid w:val="005D00ED"/>
    <w:rsid w:val="005D316D"/>
    <w:rsid w:val="005D79B7"/>
    <w:rsid w:val="005E1F57"/>
    <w:rsid w:val="005E5467"/>
    <w:rsid w:val="005E78EB"/>
    <w:rsid w:val="005F2947"/>
    <w:rsid w:val="005F2FDF"/>
    <w:rsid w:val="005F713E"/>
    <w:rsid w:val="0060049D"/>
    <w:rsid w:val="0060168C"/>
    <w:rsid w:val="006048D5"/>
    <w:rsid w:val="006102B9"/>
    <w:rsid w:val="006162F7"/>
    <w:rsid w:val="00626EF6"/>
    <w:rsid w:val="00636310"/>
    <w:rsid w:val="00637068"/>
    <w:rsid w:val="006371DB"/>
    <w:rsid w:val="006416E3"/>
    <w:rsid w:val="00645052"/>
    <w:rsid w:val="006504F5"/>
    <w:rsid w:val="00651771"/>
    <w:rsid w:val="00655200"/>
    <w:rsid w:val="00666DB7"/>
    <w:rsid w:val="006822AF"/>
    <w:rsid w:val="00683ED5"/>
    <w:rsid w:val="0068467B"/>
    <w:rsid w:val="00687C38"/>
    <w:rsid w:val="00687FD7"/>
    <w:rsid w:val="00693E21"/>
    <w:rsid w:val="00694015"/>
    <w:rsid w:val="00694516"/>
    <w:rsid w:val="006948C0"/>
    <w:rsid w:val="00695530"/>
    <w:rsid w:val="006A1CD1"/>
    <w:rsid w:val="006B3421"/>
    <w:rsid w:val="006B3AE2"/>
    <w:rsid w:val="006C204D"/>
    <w:rsid w:val="006C2131"/>
    <w:rsid w:val="006C52C6"/>
    <w:rsid w:val="006C5C4C"/>
    <w:rsid w:val="006D3CC3"/>
    <w:rsid w:val="006D52AA"/>
    <w:rsid w:val="006E01AA"/>
    <w:rsid w:val="006E3E54"/>
    <w:rsid w:val="006E406C"/>
    <w:rsid w:val="006E489E"/>
    <w:rsid w:val="006F020B"/>
    <w:rsid w:val="007000AC"/>
    <w:rsid w:val="00700901"/>
    <w:rsid w:val="00712826"/>
    <w:rsid w:val="007218FC"/>
    <w:rsid w:val="00725F8C"/>
    <w:rsid w:val="007310E3"/>
    <w:rsid w:val="007321C4"/>
    <w:rsid w:val="00735094"/>
    <w:rsid w:val="0074296F"/>
    <w:rsid w:val="007466B8"/>
    <w:rsid w:val="00751FF3"/>
    <w:rsid w:val="0075206A"/>
    <w:rsid w:val="00753DAC"/>
    <w:rsid w:val="007562E4"/>
    <w:rsid w:val="00763D45"/>
    <w:rsid w:val="00771C73"/>
    <w:rsid w:val="00785C31"/>
    <w:rsid w:val="00794688"/>
    <w:rsid w:val="007955D4"/>
    <w:rsid w:val="007A0590"/>
    <w:rsid w:val="007A59E2"/>
    <w:rsid w:val="007B1CE8"/>
    <w:rsid w:val="007B727E"/>
    <w:rsid w:val="007C16FA"/>
    <w:rsid w:val="007C1EEC"/>
    <w:rsid w:val="007C4498"/>
    <w:rsid w:val="007C59CC"/>
    <w:rsid w:val="007C6F53"/>
    <w:rsid w:val="007D4ED1"/>
    <w:rsid w:val="007D5A37"/>
    <w:rsid w:val="007E6471"/>
    <w:rsid w:val="007E6964"/>
    <w:rsid w:val="007F01D5"/>
    <w:rsid w:val="007F17BD"/>
    <w:rsid w:val="007F1EF0"/>
    <w:rsid w:val="007F6110"/>
    <w:rsid w:val="00803930"/>
    <w:rsid w:val="00806FF4"/>
    <w:rsid w:val="00816DC7"/>
    <w:rsid w:val="00820A72"/>
    <w:rsid w:val="00826504"/>
    <w:rsid w:val="008313FB"/>
    <w:rsid w:val="008360F1"/>
    <w:rsid w:val="008441B5"/>
    <w:rsid w:val="00853454"/>
    <w:rsid w:val="00855B37"/>
    <w:rsid w:val="0087252C"/>
    <w:rsid w:val="008746C4"/>
    <w:rsid w:val="008800DC"/>
    <w:rsid w:val="00884693"/>
    <w:rsid w:val="00885236"/>
    <w:rsid w:val="008B3143"/>
    <w:rsid w:val="008B36A7"/>
    <w:rsid w:val="008B4A9C"/>
    <w:rsid w:val="008B7D13"/>
    <w:rsid w:val="008C2576"/>
    <w:rsid w:val="008D2F7E"/>
    <w:rsid w:val="008E5EED"/>
    <w:rsid w:val="00900B82"/>
    <w:rsid w:val="0090108D"/>
    <w:rsid w:val="00903D9D"/>
    <w:rsid w:val="00912E73"/>
    <w:rsid w:val="009240B8"/>
    <w:rsid w:val="00935904"/>
    <w:rsid w:val="0093758C"/>
    <w:rsid w:val="00944D41"/>
    <w:rsid w:val="009521A9"/>
    <w:rsid w:val="00954639"/>
    <w:rsid w:val="00954ED9"/>
    <w:rsid w:val="009559C2"/>
    <w:rsid w:val="00960C7D"/>
    <w:rsid w:val="009714CA"/>
    <w:rsid w:val="009803AA"/>
    <w:rsid w:val="0098088F"/>
    <w:rsid w:val="00981309"/>
    <w:rsid w:val="0098286B"/>
    <w:rsid w:val="00993F77"/>
    <w:rsid w:val="00994434"/>
    <w:rsid w:val="00996578"/>
    <w:rsid w:val="009A2126"/>
    <w:rsid w:val="009A5B9F"/>
    <w:rsid w:val="009B3C8E"/>
    <w:rsid w:val="009B4F20"/>
    <w:rsid w:val="009B7088"/>
    <w:rsid w:val="009B771A"/>
    <w:rsid w:val="009C5DCF"/>
    <w:rsid w:val="009C754C"/>
    <w:rsid w:val="009D2D75"/>
    <w:rsid w:val="009E349D"/>
    <w:rsid w:val="009E4761"/>
    <w:rsid w:val="009E6636"/>
    <w:rsid w:val="009E7F3F"/>
    <w:rsid w:val="009F054B"/>
    <w:rsid w:val="00A00C5A"/>
    <w:rsid w:val="00A02405"/>
    <w:rsid w:val="00A13031"/>
    <w:rsid w:val="00A1535C"/>
    <w:rsid w:val="00A16E5C"/>
    <w:rsid w:val="00A22D2D"/>
    <w:rsid w:val="00A32ADF"/>
    <w:rsid w:val="00A41A54"/>
    <w:rsid w:val="00A42CD0"/>
    <w:rsid w:val="00A53A46"/>
    <w:rsid w:val="00A573A5"/>
    <w:rsid w:val="00A63105"/>
    <w:rsid w:val="00A678EF"/>
    <w:rsid w:val="00A71AD4"/>
    <w:rsid w:val="00A73DE2"/>
    <w:rsid w:val="00A75212"/>
    <w:rsid w:val="00A771D4"/>
    <w:rsid w:val="00A8274E"/>
    <w:rsid w:val="00A900E2"/>
    <w:rsid w:val="00AA0F2D"/>
    <w:rsid w:val="00AA12B5"/>
    <w:rsid w:val="00AA435A"/>
    <w:rsid w:val="00AA66C9"/>
    <w:rsid w:val="00AB0718"/>
    <w:rsid w:val="00AB4C4C"/>
    <w:rsid w:val="00AC1D78"/>
    <w:rsid w:val="00AC6116"/>
    <w:rsid w:val="00AC6C44"/>
    <w:rsid w:val="00AD3CD1"/>
    <w:rsid w:val="00AD444B"/>
    <w:rsid w:val="00AD65B1"/>
    <w:rsid w:val="00AD79B4"/>
    <w:rsid w:val="00AE2327"/>
    <w:rsid w:val="00AE762C"/>
    <w:rsid w:val="00AF1B60"/>
    <w:rsid w:val="00B022C0"/>
    <w:rsid w:val="00B07A3B"/>
    <w:rsid w:val="00B13CC3"/>
    <w:rsid w:val="00B21174"/>
    <w:rsid w:val="00B24DF4"/>
    <w:rsid w:val="00B32400"/>
    <w:rsid w:val="00B350B5"/>
    <w:rsid w:val="00B50DF7"/>
    <w:rsid w:val="00B52D9B"/>
    <w:rsid w:val="00B5620D"/>
    <w:rsid w:val="00B573D0"/>
    <w:rsid w:val="00B6028D"/>
    <w:rsid w:val="00B6087D"/>
    <w:rsid w:val="00B70EDC"/>
    <w:rsid w:val="00B76A27"/>
    <w:rsid w:val="00B77AC2"/>
    <w:rsid w:val="00B80A3A"/>
    <w:rsid w:val="00B82464"/>
    <w:rsid w:val="00B828BB"/>
    <w:rsid w:val="00B83C87"/>
    <w:rsid w:val="00B87122"/>
    <w:rsid w:val="00B87DA2"/>
    <w:rsid w:val="00BB2FFC"/>
    <w:rsid w:val="00BB591A"/>
    <w:rsid w:val="00BC03AA"/>
    <w:rsid w:val="00BC0C43"/>
    <w:rsid w:val="00BC6662"/>
    <w:rsid w:val="00BC680A"/>
    <w:rsid w:val="00BD7A23"/>
    <w:rsid w:val="00BF5836"/>
    <w:rsid w:val="00BF7FC4"/>
    <w:rsid w:val="00C07BA3"/>
    <w:rsid w:val="00C21388"/>
    <w:rsid w:val="00C2375F"/>
    <w:rsid w:val="00C30313"/>
    <w:rsid w:val="00C32D1F"/>
    <w:rsid w:val="00C335F5"/>
    <w:rsid w:val="00C413EA"/>
    <w:rsid w:val="00C427B1"/>
    <w:rsid w:val="00C4391F"/>
    <w:rsid w:val="00C44C22"/>
    <w:rsid w:val="00C4516A"/>
    <w:rsid w:val="00C457ED"/>
    <w:rsid w:val="00C55176"/>
    <w:rsid w:val="00C611B3"/>
    <w:rsid w:val="00C616F4"/>
    <w:rsid w:val="00C61D05"/>
    <w:rsid w:val="00C635CB"/>
    <w:rsid w:val="00C67AA6"/>
    <w:rsid w:val="00C75F94"/>
    <w:rsid w:val="00C76215"/>
    <w:rsid w:val="00C762AB"/>
    <w:rsid w:val="00C81E6C"/>
    <w:rsid w:val="00C93BE7"/>
    <w:rsid w:val="00C93C86"/>
    <w:rsid w:val="00CB506E"/>
    <w:rsid w:val="00CC042E"/>
    <w:rsid w:val="00CC7AC5"/>
    <w:rsid w:val="00CD1775"/>
    <w:rsid w:val="00CD3596"/>
    <w:rsid w:val="00CD4861"/>
    <w:rsid w:val="00CD7FBF"/>
    <w:rsid w:val="00CE110D"/>
    <w:rsid w:val="00CE5652"/>
    <w:rsid w:val="00CF1979"/>
    <w:rsid w:val="00CF1A69"/>
    <w:rsid w:val="00CF5F8C"/>
    <w:rsid w:val="00D01959"/>
    <w:rsid w:val="00D143A6"/>
    <w:rsid w:val="00D156F9"/>
    <w:rsid w:val="00D163C3"/>
    <w:rsid w:val="00D22908"/>
    <w:rsid w:val="00D23161"/>
    <w:rsid w:val="00D25D6D"/>
    <w:rsid w:val="00D34B96"/>
    <w:rsid w:val="00D35970"/>
    <w:rsid w:val="00D37051"/>
    <w:rsid w:val="00D4456F"/>
    <w:rsid w:val="00D44784"/>
    <w:rsid w:val="00D47FE6"/>
    <w:rsid w:val="00D5209E"/>
    <w:rsid w:val="00D523D5"/>
    <w:rsid w:val="00D64CA3"/>
    <w:rsid w:val="00D67DA9"/>
    <w:rsid w:val="00D7157C"/>
    <w:rsid w:val="00D72879"/>
    <w:rsid w:val="00D80F87"/>
    <w:rsid w:val="00D83887"/>
    <w:rsid w:val="00D85E16"/>
    <w:rsid w:val="00D86EE1"/>
    <w:rsid w:val="00D91987"/>
    <w:rsid w:val="00D92DBF"/>
    <w:rsid w:val="00D956B6"/>
    <w:rsid w:val="00D95C94"/>
    <w:rsid w:val="00DB0BC4"/>
    <w:rsid w:val="00DB3D66"/>
    <w:rsid w:val="00DC1A27"/>
    <w:rsid w:val="00DC39B4"/>
    <w:rsid w:val="00DC43F3"/>
    <w:rsid w:val="00DD14BC"/>
    <w:rsid w:val="00DD7E26"/>
    <w:rsid w:val="00DE53A2"/>
    <w:rsid w:val="00DF4016"/>
    <w:rsid w:val="00E05F59"/>
    <w:rsid w:val="00E109D2"/>
    <w:rsid w:val="00E120F6"/>
    <w:rsid w:val="00E16F6C"/>
    <w:rsid w:val="00E1796A"/>
    <w:rsid w:val="00E24531"/>
    <w:rsid w:val="00E337CE"/>
    <w:rsid w:val="00E344DF"/>
    <w:rsid w:val="00E4099E"/>
    <w:rsid w:val="00E45120"/>
    <w:rsid w:val="00E51ADE"/>
    <w:rsid w:val="00E5774D"/>
    <w:rsid w:val="00E76B3F"/>
    <w:rsid w:val="00E76CE5"/>
    <w:rsid w:val="00E841CF"/>
    <w:rsid w:val="00E84BEA"/>
    <w:rsid w:val="00E85FD3"/>
    <w:rsid w:val="00E87CEC"/>
    <w:rsid w:val="00E916AD"/>
    <w:rsid w:val="00EA48C1"/>
    <w:rsid w:val="00EB2AD2"/>
    <w:rsid w:val="00EB2F8F"/>
    <w:rsid w:val="00EC0E8F"/>
    <w:rsid w:val="00ED1F1D"/>
    <w:rsid w:val="00ED5267"/>
    <w:rsid w:val="00ED59AD"/>
    <w:rsid w:val="00EE57C1"/>
    <w:rsid w:val="00EF330C"/>
    <w:rsid w:val="00EF730D"/>
    <w:rsid w:val="00F0489B"/>
    <w:rsid w:val="00F17AF7"/>
    <w:rsid w:val="00F235FB"/>
    <w:rsid w:val="00F26BFB"/>
    <w:rsid w:val="00F3501E"/>
    <w:rsid w:val="00F355D8"/>
    <w:rsid w:val="00F35B4C"/>
    <w:rsid w:val="00F433F1"/>
    <w:rsid w:val="00F62B7F"/>
    <w:rsid w:val="00F71D7E"/>
    <w:rsid w:val="00F72977"/>
    <w:rsid w:val="00F87695"/>
    <w:rsid w:val="00F90F78"/>
    <w:rsid w:val="00F96025"/>
    <w:rsid w:val="00F96C60"/>
    <w:rsid w:val="00FA0E13"/>
    <w:rsid w:val="00FB24E8"/>
    <w:rsid w:val="00FB55FD"/>
    <w:rsid w:val="00FC0BFF"/>
    <w:rsid w:val="00FC7B9C"/>
    <w:rsid w:val="00FD08BA"/>
    <w:rsid w:val="00FD46EA"/>
    <w:rsid w:val="00FD66DC"/>
    <w:rsid w:val="00FD7141"/>
    <w:rsid w:val="00FE30E5"/>
    <w:rsid w:val="00FE7F0C"/>
    <w:rsid w:val="00FF411B"/>
    <w:rsid w:val="00FF6CDA"/>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5E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B342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22473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6B"/>
  </w:style>
  <w:style w:type="paragraph" w:styleId="Footer">
    <w:name w:val="footer"/>
    <w:basedOn w:val="Normal"/>
    <w:link w:val="FooterChar"/>
    <w:uiPriority w:val="99"/>
    <w:unhideWhenUsed/>
    <w:rsid w:val="002A0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6B"/>
  </w:style>
  <w:style w:type="paragraph" w:styleId="BalloonText">
    <w:name w:val="Balloon Text"/>
    <w:basedOn w:val="Normal"/>
    <w:link w:val="BalloonTextChar"/>
    <w:uiPriority w:val="99"/>
    <w:semiHidden/>
    <w:unhideWhenUsed/>
    <w:rsid w:val="002A0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D6B"/>
    <w:rPr>
      <w:rFonts w:ascii="Tahoma" w:hAnsi="Tahoma" w:cs="Tahoma"/>
      <w:sz w:val="16"/>
      <w:szCs w:val="16"/>
    </w:rPr>
  </w:style>
  <w:style w:type="table" w:styleId="TableGrid">
    <w:name w:val="Table Grid"/>
    <w:basedOn w:val="TableNormal"/>
    <w:uiPriority w:val="59"/>
    <w:rsid w:val="002A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7A4"/>
    <w:pPr>
      <w:ind w:left="720"/>
      <w:contextualSpacing/>
    </w:pPr>
  </w:style>
  <w:style w:type="character" w:customStyle="1" w:styleId="jlqj4b">
    <w:name w:val="jlqj4b"/>
    <w:basedOn w:val="DefaultParagraphFont"/>
    <w:rsid w:val="00B022C0"/>
  </w:style>
  <w:style w:type="character" w:customStyle="1" w:styleId="viiyi">
    <w:name w:val="viiyi"/>
    <w:basedOn w:val="DefaultParagraphFont"/>
    <w:rsid w:val="00B022C0"/>
  </w:style>
  <w:style w:type="paragraph" w:customStyle="1" w:styleId="Default">
    <w:name w:val="Default"/>
    <w:rsid w:val="008B7D13"/>
    <w:pPr>
      <w:autoSpaceDE w:val="0"/>
      <w:autoSpaceDN w:val="0"/>
      <w:adjustRightInd w:val="0"/>
      <w:spacing w:after="0" w:line="240" w:lineRule="auto"/>
    </w:pPr>
    <w:rPr>
      <w:rFonts w:ascii="Helvetica 65 Medium" w:hAnsi="Helvetica 65 Medium" w:cs="Helvetica 65 Medium"/>
      <w:color w:val="000000"/>
      <w:szCs w:val="24"/>
    </w:rPr>
  </w:style>
  <w:style w:type="paragraph" w:styleId="NormalWeb">
    <w:name w:val="Normal (Web)"/>
    <w:basedOn w:val="Normal"/>
    <w:uiPriority w:val="99"/>
    <w:unhideWhenUsed/>
    <w:rsid w:val="006B342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B3421"/>
    <w:rPr>
      <w:i/>
      <w:iCs/>
    </w:rPr>
  </w:style>
  <w:style w:type="character" w:customStyle="1" w:styleId="Heading2Char">
    <w:name w:val="Heading 2 Char"/>
    <w:basedOn w:val="DefaultParagraphFont"/>
    <w:link w:val="Heading2"/>
    <w:uiPriority w:val="9"/>
    <w:rsid w:val="006B3421"/>
    <w:rPr>
      <w:rFonts w:eastAsia="Times New Roman" w:cs="Times New Roman"/>
      <w:b/>
      <w:bCs/>
      <w:sz w:val="36"/>
      <w:szCs w:val="36"/>
    </w:rPr>
  </w:style>
  <w:style w:type="character" w:styleId="Strong">
    <w:name w:val="Strong"/>
    <w:basedOn w:val="DefaultParagraphFont"/>
    <w:uiPriority w:val="22"/>
    <w:qFormat/>
    <w:rsid w:val="006B3421"/>
    <w:rPr>
      <w:b/>
      <w:bCs/>
    </w:rPr>
  </w:style>
  <w:style w:type="character" w:styleId="Hyperlink">
    <w:name w:val="Hyperlink"/>
    <w:basedOn w:val="DefaultParagraphFont"/>
    <w:uiPriority w:val="99"/>
    <w:unhideWhenUsed/>
    <w:rsid w:val="006B3421"/>
    <w:rPr>
      <w:color w:val="0000FF" w:themeColor="hyperlink"/>
      <w:u w:val="single"/>
    </w:rPr>
  </w:style>
  <w:style w:type="character" w:customStyle="1" w:styleId="Heading1Char">
    <w:name w:val="Heading 1 Char"/>
    <w:basedOn w:val="DefaultParagraphFont"/>
    <w:link w:val="Heading1"/>
    <w:uiPriority w:val="9"/>
    <w:rsid w:val="00095ECD"/>
    <w:rPr>
      <w:rFonts w:asciiTheme="majorHAnsi" w:eastAsiaTheme="majorEastAsia" w:hAnsiTheme="majorHAnsi" w:cstheme="majorBidi"/>
      <w:color w:val="365F91" w:themeColor="accent1" w:themeShade="BF"/>
      <w:sz w:val="32"/>
      <w:szCs w:val="32"/>
    </w:rPr>
  </w:style>
  <w:style w:type="character" w:customStyle="1" w:styleId="hitorg">
    <w:name w:val="hit_org"/>
    <w:basedOn w:val="DefaultParagraphFont"/>
    <w:rsid w:val="00123DAD"/>
  </w:style>
  <w:style w:type="character" w:customStyle="1" w:styleId="bwuline">
    <w:name w:val="bwuline"/>
    <w:basedOn w:val="DefaultParagraphFont"/>
    <w:rsid w:val="00102DFE"/>
  </w:style>
  <w:style w:type="character" w:customStyle="1" w:styleId="hitinf">
    <w:name w:val="hit_inf"/>
    <w:basedOn w:val="DefaultParagraphFont"/>
    <w:rsid w:val="009B771A"/>
  </w:style>
  <w:style w:type="character" w:customStyle="1" w:styleId="Heading3Char">
    <w:name w:val="Heading 3 Char"/>
    <w:basedOn w:val="DefaultParagraphFont"/>
    <w:link w:val="Heading3"/>
    <w:uiPriority w:val="9"/>
    <w:rsid w:val="00224733"/>
    <w:rPr>
      <w:rFonts w:asciiTheme="majorHAnsi" w:eastAsiaTheme="majorEastAsia" w:hAnsiTheme="majorHAnsi" w:cstheme="majorBidi"/>
      <w:color w:val="243F60" w:themeColor="accent1" w:themeShade="7F"/>
      <w:szCs w:val="24"/>
    </w:rPr>
  </w:style>
  <w:style w:type="character" w:customStyle="1" w:styleId="nlm-given-names">
    <w:name w:val="nlm-given-names"/>
    <w:basedOn w:val="DefaultParagraphFont"/>
    <w:rsid w:val="006162F7"/>
  </w:style>
  <w:style w:type="character" w:customStyle="1" w:styleId="nlm-surname">
    <w:name w:val="nlm-surname"/>
    <w:basedOn w:val="DefaultParagraphFont"/>
    <w:rsid w:val="006162F7"/>
  </w:style>
  <w:style w:type="character" w:customStyle="1" w:styleId="label">
    <w:name w:val="label"/>
    <w:basedOn w:val="DefaultParagraphFont"/>
    <w:rsid w:val="00DE53A2"/>
  </w:style>
  <w:style w:type="character" w:customStyle="1" w:styleId="Title1">
    <w:name w:val="Title1"/>
    <w:basedOn w:val="DefaultParagraphFont"/>
    <w:rsid w:val="007466B8"/>
  </w:style>
  <w:style w:type="character" w:customStyle="1" w:styleId="highwire-citation-author">
    <w:name w:val="highwire-citation-author"/>
    <w:basedOn w:val="DefaultParagraphFont"/>
    <w:rsid w:val="007466B8"/>
  </w:style>
  <w:style w:type="character" w:customStyle="1" w:styleId="highwire-citation-authors">
    <w:name w:val="highwire-citation-authors"/>
    <w:basedOn w:val="DefaultParagraphFont"/>
    <w:rsid w:val="004B4364"/>
  </w:style>
  <w:style w:type="character" w:customStyle="1" w:styleId="Title2">
    <w:name w:val="Title2"/>
    <w:basedOn w:val="DefaultParagraphFont"/>
    <w:rsid w:val="004B4364"/>
  </w:style>
  <w:style w:type="character" w:customStyle="1" w:styleId="highwire-cite-metadata-doi">
    <w:name w:val="highwire-cite-metadata-doi"/>
    <w:basedOn w:val="DefaultParagraphFont"/>
    <w:rsid w:val="004B4364"/>
  </w:style>
  <w:style w:type="character" w:customStyle="1" w:styleId="full-name">
    <w:name w:val="full-name"/>
    <w:basedOn w:val="DefaultParagraphFont"/>
    <w:rsid w:val="005E1F57"/>
  </w:style>
  <w:style w:type="character" w:customStyle="1" w:styleId="citation-separator">
    <w:name w:val="citation-separator"/>
    <w:basedOn w:val="DefaultParagraphFont"/>
    <w:rsid w:val="005E1F57"/>
  </w:style>
  <w:style w:type="character" w:customStyle="1" w:styleId="identifier">
    <w:name w:val="identifier"/>
    <w:basedOn w:val="DefaultParagraphFont"/>
    <w:rsid w:val="005E1F57"/>
  </w:style>
  <w:style w:type="character" w:customStyle="1" w:styleId="id-label">
    <w:name w:val="id-label"/>
    <w:basedOn w:val="DefaultParagraphFont"/>
    <w:rsid w:val="005E1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5E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B3421"/>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22473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6B"/>
  </w:style>
  <w:style w:type="paragraph" w:styleId="Footer">
    <w:name w:val="footer"/>
    <w:basedOn w:val="Normal"/>
    <w:link w:val="FooterChar"/>
    <w:uiPriority w:val="99"/>
    <w:unhideWhenUsed/>
    <w:rsid w:val="002A0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6B"/>
  </w:style>
  <w:style w:type="paragraph" w:styleId="BalloonText">
    <w:name w:val="Balloon Text"/>
    <w:basedOn w:val="Normal"/>
    <w:link w:val="BalloonTextChar"/>
    <w:uiPriority w:val="99"/>
    <w:semiHidden/>
    <w:unhideWhenUsed/>
    <w:rsid w:val="002A0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D6B"/>
    <w:rPr>
      <w:rFonts w:ascii="Tahoma" w:hAnsi="Tahoma" w:cs="Tahoma"/>
      <w:sz w:val="16"/>
      <w:szCs w:val="16"/>
    </w:rPr>
  </w:style>
  <w:style w:type="table" w:styleId="TableGrid">
    <w:name w:val="Table Grid"/>
    <w:basedOn w:val="TableNormal"/>
    <w:uiPriority w:val="59"/>
    <w:rsid w:val="002A0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07A4"/>
    <w:pPr>
      <w:ind w:left="720"/>
      <w:contextualSpacing/>
    </w:pPr>
  </w:style>
  <w:style w:type="character" w:customStyle="1" w:styleId="jlqj4b">
    <w:name w:val="jlqj4b"/>
    <w:basedOn w:val="DefaultParagraphFont"/>
    <w:rsid w:val="00B022C0"/>
  </w:style>
  <w:style w:type="character" w:customStyle="1" w:styleId="viiyi">
    <w:name w:val="viiyi"/>
    <w:basedOn w:val="DefaultParagraphFont"/>
    <w:rsid w:val="00B022C0"/>
  </w:style>
  <w:style w:type="paragraph" w:customStyle="1" w:styleId="Default">
    <w:name w:val="Default"/>
    <w:rsid w:val="008B7D13"/>
    <w:pPr>
      <w:autoSpaceDE w:val="0"/>
      <w:autoSpaceDN w:val="0"/>
      <w:adjustRightInd w:val="0"/>
      <w:spacing w:after="0" w:line="240" w:lineRule="auto"/>
    </w:pPr>
    <w:rPr>
      <w:rFonts w:ascii="Helvetica 65 Medium" w:hAnsi="Helvetica 65 Medium" w:cs="Helvetica 65 Medium"/>
      <w:color w:val="000000"/>
      <w:szCs w:val="24"/>
    </w:rPr>
  </w:style>
  <w:style w:type="paragraph" w:styleId="NormalWeb">
    <w:name w:val="Normal (Web)"/>
    <w:basedOn w:val="Normal"/>
    <w:uiPriority w:val="99"/>
    <w:unhideWhenUsed/>
    <w:rsid w:val="006B3421"/>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6B3421"/>
    <w:rPr>
      <w:i/>
      <w:iCs/>
    </w:rPr>
  </w:style>
  <w:style w:type="character" w:customStyle="1" w:styleId="Heading2Char">
    <w:name w:val="Heading 2 Char"/>
    <w:basedOn w:val="DefaultParagraphFont"/>
    <w:link w:val="Heading2"/>
    <w:uiPriority w:val="9"/>
    <w:rsid w:val="006B3421"/>
    <w:rPr>
      <w:rFonts w:eastAsia="Times New Roman" w:cs="Times New Roman"/>
      <w:b/>
      <w:bCs/>
      <w:sz w:val="36"/>
      <w:szCs w:val="36"/>
    </w:rPr>
  </w:style>
  <w:style w:type="character" w:styleId="Strong">
    <w:name w:val="Strong"/>
    <w:basedOn w:val="DefaultParagraphFont"/>
    <w:uiPriority w:val="22"/>
    <w:qFormat/>
    <w:rsid w:val="006B3421"/>
    <w:rPr>
      <w:b/>
      <w:bCs/>
    </w:rPr>
  </w:style>
  <w:style w:type="character" w:styleId="Hyperlink">
    <w:name w:val="Hyperlink"/>
    <w:basedOn w:val="DefaultParagraphFont"/>
    <w:uiPriority w:val="99"/>
    <w:unhideWhenUsed/>
    <w:rsid w:val="006B3421"/>
    <w:rPr>
      <w:color w:val="0000FF" w:themeColor="hyperlink"/>
      <w:u w:val="single"/>
    </w:rPr>
  </w:style>
  <w:style w:type="character" w:customStyle="1" w:styleId="Heading1Char">
    <w:name w:val="Heading 1 Char"/>
    <w:basedOn w:val="DefaultParagraphFont"/>
    <w:link w:val="Heading1"/>
    <w:uiPriority w:val="9"/>
    <w:rsid w:val="00095ECD"/>
    <w:rPr>
      <w:rFonts w:asciiTheme="majorHAnsi" w:eastAsiaTheme="majorEastAsia" w:hAnsiTheme="majorHAnsi" w:cstheme="majorBidi"/>
      <w:color w:val="365F91" w:themeColor="accent1" w:themeShade="BF"/>
      <w:sz w:val="32"/>
      <w:szCs w:val="32"/>
    </w:rPr>
  </w:style>
  <w:style w:type="character" w:customStyle="1" w:styleId="hitorg">
    <w:name w:val="hit_org"/>
    <w:basedOn w:val="DefaultParagraphFont"/>
    <w:rsid w:val="00123DAD"/>
  </w:style>
  <w:style w:type="character" w:customStyle="1" w:styleId="bwuline">
    <w:name w:val="bwuline"/>
    <w:basedOn w:val="DefaultParagraphFont"/>
    <w:rsid w:val="00102DFE"/>
  </w:style>
  <w:style w:type="character" w:customStyle="1" w:styleId="hitinf">
    <w:name w:val="hit_inf"/>
    <w:basedOn w:val="DefaultParagraphFont"/>
    <w:rsid w:val="009B771A"/>
  </w:style>
  <w:style w:type="character" w:customStyle="1" w:styleId="Heading3Char">
    <w:name w:val="Heading 3 Char"/>
    <w:basedOn w:val="DefaultParagraphFont"/>
    <w:link w:val="Heading3"/>
    <w:uiPriority w:val="9"/>
    <w:rsid w:val="00224733"/>
    <w:rPr>
      <w:rFonts w:asciiTheme="majorHAnsi" w:eastAsiaTheme="majorEastAsia" w:hAnsiTheme="majorHAnsi" w:cstheme="majorBidi"/>
      <w:color w:val="243F60" w:themeColor="accent1" w:themeShade="7F"/>
      <w:szCs w:val="24"/>
    </w:rPr>
  </w:style>
  <w:style w:type="character" w:customStyle="1" w:styleId="nlm-given-names">
    <w:name w:val="nlm-given-names"/>
    <w:basedOn w:val="DefaultParagraphFont"/>
    <w:rsid w:val="006162F7"/>
  </w:style>
  <w:style w:type="character" w:customStyle="1" w:styleId="nlm-surname">
    <w:name w:val="nlm-surname"/>
    <w:basedOn w:val="DefaultParagraphFont"/>
    <w:rsid w:val="006162F7"/>
  </w:style>
  <w:style w:type="character" w:customStyle="1" w:styleId="label">
    <w:name w:val="label"/>
    <w:basedOn w:val="DefaultParagraphFont"/>
    <w:rsid w:val="00DE53A2"/>
  </w:style>
  <w:style w:type="character" w:customStyle="1" w:styleId="Title1">
    <w:name w:val="Title1"/>
    <w:basedOn w:val="DefaultParagraphFont"/>
    <w:rsid w:val="007466B8"/>
  </w:style>
  <w:style w:type="character" w:customStyle="1" w:styleId="highwire-citation-author">
    <w:name w:val="highwire-citation-author"/>
    <w:basedOn w:val="DefaultParagraphFont"/>
    <w:rsid w:val="007466B8"/>
  </w:style>
  <w:style w:type="character" w:customStyle="1" w:styleId="highwire-citation-authors">
    <w:name w:val="highwire-citation-authors"/>
    <w:basedOn w:val="DefaultParagraphFont"/>
    <w:rsid w:val="004B4364"/>
  </w:style>
  <w:style w:type="character" w:customStyle="1" w:styleId="Title2">
    <w:name w:val="Title2"/>
    <w:basedOn w:val="DefaultParagraphFont"/>
    <w:rsid w:val="004B4364"/>
  </w:style>
  <w:style w:type="character" w:customStyle="1" w:styleId="highwire-cite-metadata-doi">
    <w:name w:val="highwire-cite-metadata-doi"/>
    <w:basedOn w:val="DefaultParagraphFont"/>
    <w:rsid w:val="004B4364"/>
  </w:style>
  <w:style w:type="character" w:customStyle="1" w:styleId="full-name">
    <w:name w:val="full-name"/>
    <w:basedOn w:val="DefaultParagraphFont"/>
    <w:rsid w:val="005E1F57"/>
  </w:style>
  <w:style w:type="character" w:customStyle="1" w:styleId="citation-separator">
    <w:name w:val="citation-separator"/>
    <w:basedOn w:val="DefaultParagraphFont"/>
    <w:rsid w:val="005E1F57"/>
  </w:style>
  <w:style w:type="character" w:customStyle="1" w:styleId="identifier">
    <w:name w:val="identifier"/>
    <w:basedOn w:val="DefaultParagraphFont"/>
    <w:rsid w:val="005E1F57"/>
  </w:style>
  <w:style w:type="character" w:customStyle="1" w:styleId="id-label">
    <w:name w:val="id-label"/>
    <w:basedOn w:val="DefaultParagraphFont"/>
    <w:rsid w:val="005E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1367">
      <w:bodyDiv w:val="1"/>
      <w:marLeft w:val="0"/>
      <w:marRight w:val="0"/>
      <w:marTop w:val="0"/>
      <w:marBottom w:val="0"/>
      <w:divBdr>
        <w:top w:val="none" w:sz="0" w:space="0" w:color="auto"/>
        <w:left w:val="none" w:sz="0" w:space="0" w:color="auto"/>
        <w:bottom w:val="none" w:sz="0" w:space="0" w:color="auto"/>
        <w:right w:val="none" w:sz="0" w:space="0" w:color="auto"/>
      </w:divBdr>
    </w:div>
    <w:div w:id="72627261">
      <w:bodyDiv w:val="1"/>
      <w:marLeft w:val="0"/>
      <w:marRight w:val="0"/>
      <w:marTop w:val="0"/>
      <w:marBottom w:val="0"/>
      <w:divBdr>
        <w:top w:val="none" w:sz="0" w:space="0" w:color="auto"/>
        <w:left w:val="none" w:sz="0" w:space="0" w:color="auto"/>
        <w:bottom w:val="none" w:sz="0" w:space="0" w:color="auto"/>
        <w:right w:val="none" w:sz="0" w:space="0" w:color="auto"/>
      </w:divBdr>
    </w:div>
    <w:div w:id="185414680">
      <w:bodyDiv w:val="1"/>
      <w:marLeft w:val="0"/>
      <w:marRight w:val="0"/>
      <w:marTop w:val="0"/>
      <w:marBottom w:val="0"/>
      <w:divBdr>
        <w:top w:val="none" w:sz="0" w:space="0" w:color="auto"/>
        <w:left w:val="none" w:sz="0" w:space="0" w:color="auto"/>
        <w:bottom w:val="none" w:sz="0" w:space="0" w:color="auto"/>
        <w:right w:val="none" w:sz="0" w:space="0" w:color="auto"/>
      </w:divBdr>
    </w:div>
    <w:div w:id="263001118">
      <w:bodyDiv w:val="1"/>
      <w:marLeft w:val="0"/>
      <w:marRight w:val="0"/>
      <w:marTop w:val="0"/>
      <w:marBottom w:val="0"/>
      <w:divBdr>
        <w:top w:val="none" w:sz="0" w:space="0" w:color="auto"/>
        <w:left w:val="none" w:sz="0" w:space="0" w:color="auto"/>
        <w:bottom w:val="none" w:sz="0" w:space="0" w:color="auto"/>
        <w:right w:val="none" w:sz="0" w:space="0" w:color="auto"/>
      </w:divBdr>
    </w:div>
    <w:div w:id="271519361">
      <w:bodyDiv w:val="1"/>
      <w:marLeft w:val="0"/>
      <w:marRight w:val="0"/>
      <w:marTop w:val="0"/>
      <w:marBottom w:val="0"/>
      <w:divBdr>
        <w:top w:val="none" w:sz="0" w:space="0" w:color="auto"/>
        <w:left w:val="none" w:sz="0" w:space="0" w:color="auto"/>
        <w:bottom w:val="none" w:sz="0" w:space="0" w:color="auto"/>
        <w:right w:val="none" w:sz="0" w:space="0" w:color="auto"/>
      </w:divBdr>
    </w:div>
    <w:div w:id="289942543">
      <w:bodyDiv w:val="1"/>
      <w:marLeft w:val="0"/>
      <w:marRight w:val="0"/>
      <w:marTop w:val="0"/>
      <w:marBottom w:val="0"/>
      <w:divBdr>
        <w:top w:val="none" w:sz="0" w:space="0" w:color="auto"/>
        <w:left w:val="none" w:sz="0" w:space="0" w:color="auto"/>
        <w:bottom w:val="none" w:sz="0" w:space="0" w:color="auto"/>
        <w:right w:val="none" w:sz="0" w:space="0" w:color="auto"/>
      </w:divBdr>
      <w:divsChild>
        <w:div w:id="728848116">
          <w:marLeft w:val="0"/>
          <w:marRight w:val="0"/>
          <w:marTop w:val="0"/>
          <w:marBottom w:val="0"/>
          <w:divBdr>
            <w:top w:val="none" w:sz="0" w:space="0" w:color="auto"/>
            <w:left w:val="none" w:sz="0" w:space="0" w:color="auto"/>
            <w:bottom w:val="none" w:sz="0" w:space="0" w:color="auto"/>
            <w:right w:val="none" w:sz="0" w:space="0" w:color="auto"/>
          </w:divBdr>
          <w:divsChild>
            <w:div w:id="1139499012">
              <w:marLeft w:val="0"/>
              <w:marRight w:val="120"/>
              <w:marTop w:val="0"/>
              <w:marBottom w:val="0"/>
              <w:divBdr>
                <w:top w:val="none" w:sz="0" w:space="0" w:color="auto"/>
                <w:left w:val="none" w:sz="0" w:space="0" w:color="auto"/>
                <w:bottom w:val="none" w:sz="0" w:space="0" w:color="auto"/>
                <w:right w:val="none" w:sz="0" w:space="0" w:color="auto"/>
              </w:divBdr>
            </w:div>
          </w:divsChild>
        </w:div>
        <w:div w:id="1114789828">
          <w:marLeft w:val="0"/>
          <w:marRight w:val="0"/>
          <w:marTop w:val="0"/>
          <w:marBottom w:val="0"/>
          <w:divBdr>
            <w:top w:val="none" w:sz="0" w:space="0" w:color="auto"/>
            <w:left w:val="none" w:sz="0" w:space="0" w:color="auto"/>
            <w:bottom w:val="none" w:sz="0" w:space="0" w:color="auto"/>
            <w:right w:val="none" w:sz="0" w:space="0" w:color="auto"/>
          </w:divBdr>
          <w:divsChild>
            <w:div w:id="161582256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43829363">
      <w:bodyDiv w:val="1"/>
      <w:marLeft w:val="0"/>
      <w:marRight w:val="0"/>
      <w:marTop w:val="0"/>
      <w:marBottom w:val="0"/>
      <w:divBdr>
        <w:top w:val="none" w:sz="0" w:space="0" w:color="auto"/>
        <w:left w:val="none" w:sz="0" w:space="0" w:color="auto"/>
        <w:bottom w:val="none" w:sz="0" w:space="0" w:color="auto"/>
        <w:right w:val="none" w:sz="0" w:space="0" w:color="auto"/>
      </w:divBdr>
    </w:div>
    <w:div w:id="374474791">
      <w:bodyDiv w:val="1"/>
      <w:marLeft w:val="0"/>
      <w:marRight w:val="0"/>
      <w:marTop w:val="0"/>
      <w:marBottom w:val="0"/>
      <w:divBdr>
        <w:top w:val="none" w:sz="0" w:space="0" w:color="auto"/>
        <w:left w:val="none" w:sz="0" w:space="0" w:color="auto"/>
        <w:bottom w:val="none" w:sz="0" w:space="0" w:color="auto"/>
        <w:right w:val="none" w:sz="0" w:space="0" w:color="auto"/>
      </w:divBdr>
    </w:div>
    <w:div w:id="493254767">
      <w:bodyDiv w:val="1"/>
      <w:marLeft w:val="0"/>
      <w:marRight w:val="0"/>
      <w:marTop w:val="0"/>
      <w:marBottom w:val="0"/>
      <w:divBdr>
        <w:top w:val="none" w:sz="0" w:space="0" w:color="auto"/>
        <w:left w:val="none" w:sz="0" w:space="0" w:color="auto"/>
        <w:bottom w:val="none" w:sz="0" w:space="0" w:color="auto"/>
        <w:right w:val="none" w:sz="0" w:space="0" w:color="auto"/>
      </w:divBdr>
    </w:div>
    <w:div w:id="527334339">
      <w:bodyDiv w:val="1"/>
      <w:marLeft w:val="0"/>
      <w:marRight w:val="0"/>
      <w:marTop w:val="0"/>
      <w:marBottom w:val="0"/>
      <w:divBdr>
        <w:top w:val="none" w:sz="0" w:space="0" w:color="auto"/>
        <w:left w:val="none" w:sz="0" w:space="0" w:color="auto"/>
        <w:bottom w:val="none" w:sz="0" w:space="0" w:color="auto"/>
        <w:right w:val="none" w:sz="0" w:space="0" w:color="auto"/>
      </w:divBdr>
    </w:div>
    <w:div w:id="563226601">
      <w:bodyDiv w:val="1"/>
      <w:marLeft w:val="0"/>
      <w:marRight w:val="0"/>
      <w:marTop w:val="0"/>
      <w:marBottom w:val="0"/>
      <w:divBdr>
        <w:top w:val="none" w:sz="0" w:space="0" w:color="auto"/>
        <w:left w:val="none" w:sz="0" w:space="0" w:color="auto"/>
        <w:bottom w:val="none" w:sz="0" w:space="0" w:color="auto"/>
        <w:right w:val="none" w:sz="0" w:space="0" w:color="auto"/>
      </w:divBdr>
    </w:div>
    <w:div w:id="582111185">
      <w:bodyDiv w:val="1"/>
      <w:marLeft w:val="0"/>
      <w:marRight w:val="0"/>
      <w:marTop w:val="0"/>
      <w:marBottom w:val="0"/>
      <w:divBdr>
        <w:top w:val="none" w:sz="0" w:space="0" w:color="auto"/>
        <w:left w:val="none" w:sz="0" w:space="0" w:color="auto"/>
        <w:bottom w:val="none" w:sz="0" w:space="0" w:color="auto"/>
        <w:right w:val="none" w:sz="0" w:space="0" w:color="auto"/>
      </w:divBdr>
    </w:div>
    <w:div w:id="598563277">
      <w:bodyDiv w:val="1"/>
      <w:marLeft w:val="0"/>
      <w:marRight w:val="0"/>
      <w:marTop w:val="0"/>
      <w:marBottom w:val="0"/>
      <w:divBdr>
        <w:top w:val="none" w:sz="0" w:space="0" w:color="auto"/>
        <w:left w:val="none" w:sz="0" w:space="0" w:color="auto"/>
        <w:bottom w:val="none" w:sz="0" w:space="0" w:color="auto"/>
        <w:right w:val="none" w:sz="0" w:space="0" w:color="auto"/>
      </w:divBdr>
    </w:div>
    <w:div w:id="633945722">
      <w:bodyDiv w:val="1"/>
      <w:marLeft w:val="0"/>
      <w:marRight w:val="0"/>
      <w:marTop w:val="0"/>
      <w:marBottom w:val="0"/>
      <w:divBdr>
        <w:top w:val="none" w:sz="0" w:space="0" w:color="auto"/>
        <w:left w:val="none" w:sz="0" w:space="0" w:color="auto"/>
        <w:bottom w:val="none" w:sz="0" w:space="0" w:color="auto"/>
        <w:right w:val="none" w:sz="0" w:space="0" w:color="auto"/>
      </w:divBdr>
      <w:divsChild>
        <w:div w:id="112864285">
          <w:marLeft w:val="0"/>
          <w:marRight w:val="0"/>
          <w:marTop w:val="75"/>
          <w:marBottom w:val="0"/>
          <w:divBdr>
            <w:top w:val="none" w:sz="0" w:space="0" w:color="auto"/>
            <w:left w:val="none" w:sz="0" w:space="0" w:color="auto"/>
            <w:bottom w:val="none" w:sz="0" w:space="0" w:color="auto"/>
            <w:right w:val="none" w:sz="0" w:space="0" w:color="auto"/>
          </w:divBdr>
        </w:div>
        <w:div w:id="1466463121">
          <w:marLeft w:val="0"/>
          <w:marRight w:val="0"/>
          <w:marTop w:val="75"/>
          <w:marBottom w:val="0"/>
          <w:divBdr>
            <w:top w:val="none" w:sz="0" w:space="0" w:color="auto"/>
            <w:left w:val="none" w:sz="0" w:space="0" w:color="auto"/>
            <w:bottom w:val="none" w:sz="0" w:space="0" w:color="auto"/>
            <w:right w:val="none" w:sz="0" w:space="0" w:color="auto"/>
          </w:divBdr>
        </w:div>
      </w:divsChild>
    </w:div>
    <w:div w:id="725027531">
      <w:bodyDiv w:val="1"/>
      <w:marLeft w:val="0"/>
      <w:marRight w:val="0"/>
      <w:marTop w:val="0"/>
      <w:marBottom w:val="0"/>
      <w:divBdr>
        <w:top w:val="none" w:sz="0" w:space="0" w:color="auto"/>
        <w:left w:val="none" w:sz="0" w:space="0" w:color="auto"/>
        <w:bottom w:val="none" w:sz="0" w:space="0" w:color="auto"/>
        <w:right w:val="none" w:sz="0" w:space="0" w:color="auto"/>
      </w:divBdr>
    </w:div>
    <w:div w:id="797725352">
      <w:bodyDiv w:val="1"/>
      <w:marLeft w:val="0"/>
      <w:marRight w:val="0"/>
      <w:marTop w:val="0"/>
      <w:marBottom w:val="0"/>
      <w:divBdr>
        <w:top w:val="none" w:sz="0" w:space="0" w:color="auto"/>
        <w:left w:val="none" w:sz="0" w:space="0" w:color="auto"/>
        <w:bottom w:val="none" w:sz="0" w:space="0" w:color="auto"/>
        <w:right w:val="none" w:sz="0" w:space="0" w:color="auto"/>
      </w:divBdr>
    </w:div>
    <w:div w:id="802161710">
      <w:bodyDiv w:val="1"/>
      <w:marLeft w:val="0"/>
      <w:marRight w:val="0"/>
      <w:marTop w:val="0"/>
      <w:marBottom w:val="0"/>
      <w:divBdr>
        <w:top w:val="none" w:sz="0" w:space="0" w:color="auto"/>
        <w:left w:val="none" w:sz="0" w:space="0" w:color="auto"/>
        <w:bottom w:val="none" w:sz="0" w:space="0" w:color="auto"/>
        <w:right w:val="none" w:sz="0" w:space="0" w:color="auto"/>
      </w:divBdr>
    </w:div>
    <w:div w:id="893277404">
      <w:bodyDiv w:val="1"/>
      <w:marLeft w:val="0"/>
      <w:marRight w:val="0"/>
      <w:marTop w:val="0"/>
      <w:marBottom w:val="0"/>
      <w:divBdr>
        <w:top w:val="none" w:sz="0" w:space="0" w:color="auto"/>
        <w:left w:val="none" w:sz="0" w:space="0" w:color="auto"/>
        <w:bottom w:val="none" w:sz="0" w:space="0" w:color="auto"/>
        <w:right w:val="none" w:sz="0" w:space="0" w:color="auto"/>
      </w:divBdr>
    </w:div>
    <w:div w:id="990213359">
      <w:bodyDiv w:val="1"/>
      <w:marLeft w:val="0"/>
      <w:marRight w:val="0"/>
      <w:marTop w:val="0"/>
      <w:marBottom w:val="0"/>
      <w:divBdr>
        <w:top w:val="none" w:sz="0" w:space="0" w:color="auto"/>
        <w:left w:val="none" w:sz="0" w:space="0" w:color="auto"/>
        <w:bottom w:val="none" w:sz="0" w:space="0" w:color="auto"/>
        <w:right w:val="none" w:sz="0" w:space="0" w:color="auto"/>
      </w:divBdr>
    </w:div>
    <w:div w:id="1026442966">
      <w:bodyDiv w:val="1"/>
      <w:marLeft w:val="0"/>
      <w:marRight w:val="0"/>
      <w:marTop w:val="0"/>
      <w:marBottom w:val="0"/>
      <w:divBdr>
        <w:top w:val="none" w:sz="0" w:space="0" w:color="auto"/>
        <w:left w:val="none" w:sz="0" w:space="0" w:color="auto"/>
        <w:bottom w:val="none" w:sz="0" w:space="0" w:color="auto"/>
        <w:right w:val="none" w:sz="0" w:space="0" w:color="auto"/>
      </w:divBdr>
    </w:div>
    <w:div w:id="1036586144">
      <w:bodyDiv w:val="1"/>
      <w:marLeft w:val="0"/>
      <w:marRight w:val="0"/>
      <w:marTop w:val="0"/>
      <w:marBottom w:val="0"/>
      <w:divBdr>
        <w:top w:val="none" w:sz="0" w:space="0" w:color="auto"/>
        <w:left w:val="none" w:sz="0" w:space="0" w:color="auto"/>
        <w:bottom w:val="none" w:sz="0" w:space="0" w:color="auto"/>
        <w:right w:val="none" w:sz="0" w:space="0" w:color="auto"/>
      </w:divBdr>
    </w:div>
    <w:div w:id="1200318563">
      <w:bodyDiv w:val="1"/>
      <w:marLeft w:val="0"/>
      <w:marRight w:val="0"/>
      <w:marTop w:val="0"/>
      <w:marBottom w:val="0"/>
      <w:divBdr>
        <w:top w:val="none" w:sz="0" w:space="0" w:color="auto"/>
        <w:left w:val="none" w:sz="0" w:space="0" w:color="auto"/>
        <w:bottom w:val="none" w:sz="0" w:space="0" w:color="auto"/>
        <w:right w:val="none" w:sz="0" w:space="0" w:color="auto"/>
      </w:divBdr>
    </w:div>
    <w:div w:id="1239824575">
      <w:bodyDiv w:val="1"/>
      <w:marLeft w:val="0"/>
      <w:marRight w:val="0"/>
      <w:marTop w:val="0"/>
      <w:marBottom w:val="0"/>
      <w:divBdr>
        <w:top w:val="none" w:sz="0" w:space="0" w:color="auto"/>
        <w:left w:val="none" w:sz="0" w:space="0" w:color="auto"/>
        <w:bottom w:val="none" w:sz="0" w:space="0" w:color="auto"/>
        <w:right w:val="none" w:sz="0" w:space="0" w:color="auto"/>
      </w:divBdr>
    </w:div>
    <w:div w:id="1294364671">
      <w:bodyDiv w:val="1"/>
      <w:marLeft w:val="0"/>
      <w:marRight w:val="0"/>
      <w:marTop w:val="0"/>
      <w:marBottom w:val="0"/>
      <w:divBdr>
        <w:top w:val="none" w:sz="0" w:space="0" w:color="auto"/>
        <w:left w:val="none" w:sz="0" w:space="0" w:color="auto"/>
        <w:bottom w:val="none" w:sz="0" w:space="0" w:color="auto"/>
        <w:right w:val="none" w:sz="0" w:space="0" w:color="auto"/>
      </w:divBdr>
    </w:div>
    <w:div w:id="1364600185">
      <w:bodyDiv w:val="1"/>
      <w:marLeft w:val="0"/>
      <w:marRight w:val="0"/>
      <w:marTop w:val="0"/>
      <w:marBottom w:val="0"/>
      <w:divBdr>
        <w:top w:val="none" w:sz="0" w:space="0" w:color="auto"/>
        <w:left w:val="none" w:sz="0" w:space="0" w:color="auto"/>
        <w:bottom w:val="none" w:sz="0" w:space="0" w:color="auto"/>
        <w:right w:val="none" w:sz="0" w:space="0" w:color="auto"/>
      </w:divBdr>
    </w:div>
    <w:div w:id="1372417288">
      <w:bodyDiv w:val="1"/>
      <w:marLeft w:val="0"/>
      <w:marRight w:val="0"/>
      <w:marTop w:val="0"/>
      <w:marBottom w:val="0"/>
      <w:divBdr>
        <w:top w:val="none" w:sz="0" w:space="0" w:color="auto"/>
        <w:left w:val="none" w:sz="0" w:space="0" w:color="auto"/>
        <w:bottom w:val="none" w:sz="0" w:space="0" w:color="auto"/>
        <w:right w:val="none" w:sz="0" w:space="0" w:color="auto"/>
      </w:divBdr>
    </w:div>
    <w:div w:id="1381200602">
      <w:bodyDiv w:val="1"/>
      <w:marLeft w:val="0"/>
      <w:marRight w:val="0"/>
      <w:marTop w:val="0"/>
      <w:marBottom w:val="0"/>
      <w:divBdr>
        <w:top w:val="none" w:sz="0" w:space="0" w:color="auto"/>
        <w:left w:val="none" w:sz="0" w:space="0" w:color="auto"/>
        <w:bottom w:val="none" w:sz="0" w:space="0" w:color="auto"/>
        <w:right w:val="none" w:sz="0" w:space="0" w:color="auto"/>
      </w:divBdr>
      <w:divsChild>
        <w:div w:id="62416932">
          <w:marLeft w:val="0"/>
          <w:marRight w:val="0"/>
          <w:marTop w:val="0"/>
          <w:marBottom w:val="0"/>
          <w:divBdr>
            <w:top w:val="none" w:sz="0" w:space="0" w:color="auto"/>
            <w:left w:val="none" w:sz="0" w:space="0" w:color="auto"/>
            <w:bottom w:val="none" w:sz="0" w:space="0" w:color="auto"/>
            <w:right w:val="none" w:sz="0" w:space="0" w:color="auto"/>
          </w:divBdr>
        </w:div>
        <w:div w:id="1219052501">
          <w:marLeft w:val="240"/>
          <w:marRight w:val="0"/>
          <w:marTop w:val="0"/>
          <w:marBottom w:val="0"/>
          <w:divBdr>
            <w:top w:val="none" w:sz="0" w:space="0" w:color="auto"/>
            <w:left w:val="none" w:sz="0" w:space="0" w:color="auto"/>
            <w:bottom w:val="none" w:sz="0" w:space="0" w:color="auto"/>
            <w:right w:val="none" w:sz="0" w:space="0" w:color="auto"/>
          </w:divBdr>
        </w:div>
      </w:divsChild>
    </w:div>
    <w:div w:id="1400399633">
      <w:bodyDiv w:val="1"/>
      <w:marLeft w:val="0"/>
      <w:marRight w:val="0"/>
      <w:marTop w:val="0"/>
      <w:marBottom w:val="0"/>
      <w:divBdr>
        <w:top w:val="none" w:sz="0" w:space="0" w:color="auto"/>
        <w:left w:val="none" w:sz="0" w:space="0" w:color="auto"/>
        <w:bottom w:val="none" w:sz="0" w:space="0" w:color="auto"/>
        <w:right w:val="none" w:sz="0" w:space="0" w:color="auto"/>
      </w:divBdr>
    </w:div>
    <w:div w:id="1408770373">
      <w:bodyDiv w:val="1"/>
      <w:marLeft w:val="0"/>
      <w:marRight w:val="0"/>
      <w:marTop w:val="0"/>
      <w:marBottom w:val="0"/>
      <w:divBdr>
        <w:top w:val="none" w:sz="0" w:space="0" w:color="auto"/>
        <w:left w:val="none" w:sz="0" w:space="0" w:color="auto"/>
        <w:bottom w:val="none" w:sz="0" w:space="0" w:color="auto"/>
        <w:right w:val="none" w:sz="0" w:space="0" w:color="auto"/>
      </w:divBdr>
    </w:div>
    <w:div w:id="1413889139">
      <w:bodyDiv w:val="1"/>
      <w:marLeft w:val="0"/>
      <w:marRight w:val="0"/>
      <w:marTop w:val="0"/>
      <w:marBottom w:val="0"/>
      <w:divBdr>
        <w:top w:val="none" w:sz="0" w:space="0" w:color="auto"/>
        <w:left w:val="none" w:sz="0" w:space="0" w:color="auto"/>
        <w:bottom w:val="none" w:sz="0" w:space="0" w:color="auto"/>
        <w:right w:val="none" w:sz="0" w:space="0" w:color="auto"/>
      </w:divBdr>
    </w:div>
    <w:div w:id="1453942965">
      <w:bodyDiv w:val="1"/>
      <w:marLeft w:val="0"/>
      <w:marRight w:val="0"/>
      <w:marTop w:val="0"/>
      <w:marBottom w:val="0"/>
      <w:divBdr>
        <w:top w:val="none" w:sz="0" w:space="0" w:color="auto"/>
        <w:left w:val="none" w:sz="0" w:space="0" w:color="auto"/>
        <w:bottom w:val="none" w:sz="0" w:space="0" w:color="auto"/>
        <w:right w:val="none" w:sz="0" w:space="0" w:color="auto"/>
      </w:divBdr>
    </w:div>
    <w:div w:id="1521509467">
      <w:bodyDiv w:val="1"/>
      <w:marLeft w:val="0"/>
      <w:marRight w:val="0"/>
      <w:marTop w:val="0"/>
      <w:marBottom w:val="0"/>
      <w:divBdr>
        <w:top w:val="none" w:sz="0" w:space="0" w:color="auto"/>
        <w:left w:val="none" w:sz="0" w:space="0" w:color="auto"/>
        <w:bottom w:val="none" w:sz="0" w:space="0" w:color="auto"/>
        <w:right w:val="none" w:sz="0" w:space="0" w:color="auto"/>
      </w:divBdr>
    </w:div>
    <w:div w:id="1545605101">
      <w:bodyDiv w:val="1"/>
      <w:marLeft w:val="0"/>
      <w:marRight w:val="0"/>
      <w:marTop w:val="0"/>
      <w:marBottom w:val="0"/>
      <w:divBdr>
        <w:top w:val="none" w:sz="0" w:space="0" w:color="auto"/>
        <w:left w:val="none" w:sz="0" w:space="0" w:color="auto"/>
        <w:bottom w:val="none" w:sz="0" w:space="0" w:color="auto"/>
        <w:right w:val="none" w:sz="0" w:space="0" w:color="auto"/>
      </w:divBdr>
    </w:div>
    <w:div w:id="1552231853">
      <w:bodyDiv w:val="1"/>
      <w:marLeft w:val="0"/>
      <w:marRight w:val="0"/>
      <w:marTop w:val="0"/>
      <w:marBottom w:val="0"/>
      <w:divBdr>
        <w:top w:val="none" w:sz="0" w:space="0" w:color="auto"/>
        <w:left w:val="none" w:sz="0" w:space="0" w:color="auto"/>
        <w:bottom w:val="none" w:sz="0" w:space="0" w:color="auto"/>
        <w:right w:val="none" w:sz="0" w:space="0" w:color="auto"/>
      </w:divBdr>
    </w:div>
    <w:div w:id="1565526137">
      <w:bodyDiv w:val="1"/>
      <w:marLeft w:val="0"/>
      <w:marRight w:val="0"/>
      <w:marTop w:val="0"/>
      <w:marBottom w:val="0"/>
      <w:divBdr>
        <w:top w:val="none" w:sz="0" w:space="0" w:color="auto"/>
        <w:left w:val="none" w:sz="0" w:space="0" w:color="auto"/>
        <w:bottom w:val="none" w:sz="0" w:space="0" w:color="auto"/>
        <w:right w:val="none" w:sz="0" w:space="0" w:color="auto"/>
      </w:divBdr>
    </w:div>
    <w:div w:id="1587303064">
      <w:bodyDiv w:val="1"/>
      <w:marLeft w:val="0"/>
      <w:marRight w:val="0"/>
      <w:marTop w:val="0"/>
      <w:marBottom w:val="0"/>
      <w:divBdr>
        <w:top w:val="none" w:sz="0" w:space="0" w:color="auto"/>
        <w:left w:val="none" w:sz="0" w:space="0" w:color="auto"/>
        <w:bottom w:val="none" w:sz="0" w:space="0" w:color="auto"/>
        <w:right w:val="none" w:sz="0" w:space="0" w:color="auto"/>
      </w:divBdr>
    </w:div>
    <w:div w:id="1619870549">
      <w:bodyDiv w:val="1"/>
      <w:marLeft w:val="0"/>
      <w:marRight w:val="0"/>
      <w:marTop w:val="0"/>
      <w:marBottom w:val="0"/>
      <w:divBdr>
        <w:top w:val="none" w:sz="0" w:space="0" w:color="auto"/>
        <w:left w:val="none" w:sz="0" w:space="0" w:color="auto"/>
        <w:bottom w:val="none" w:sz="0" w:space="0" w:color="auto"/>
        <w:right w:val="none" w:sz="0" w:space="0" w:color="auto"/>
      </w:divBdr>
    </w:div>
    <w:div w:id="1650286557">
      <w:bodyDiv w:val="1"/>
      <w:marLeft w:val="0"/>
      <w:marRight w:val="0"/>
      <w:marTop w:val="0"/>
      <w:marBottom w:val="0"/>
      <w:divBdr>
        <w:top w:val="none" w:sz="0" w:space="0" w:color="auto"/>
        <w:left w:val="none" w:sz="0" w:space="0" w:color="auto"/>
        <w:bottom w:val="none" w:sz="0" w:space="0" w:color="auto"/>
        <w:right w:val="none" w:sz="0" w:space="0" w:color="auto"/>
      </w:divBdr>
    </w:div>
    <w:div w:id="1650941524">
      <w:bodyDiv w:val="1"/>
      <w:marLeft w:val="0"/>
      <w:marRight w:val="0"/>
      <w:marTop w:val="0"/>
      <w:marBottom w:val="0"/>
      <w:divBdr>
        <w:top w:val="none" w:sz="0" w:space="0" w:color="auto"/>
        <w:left w:val="none" w:sz="0" w:space="0" w:color="auto"/>
        <w:bottom w:val="none" w:sz="0" w:space="0" w:color="auto"/>
        <w:right w:val="none" w:sz="0" w:space="0" w:color="auto"/>
      </w:divBdr>
    </w:div>
    <w:div w:id="1711689832">
      <w:bodyDiv w:val="1"/>
      <w:marLeft w:val="0"/>
      <w:marRight w:val="0"/>
      <w:marTop w:val="0"/>
      <w:marBottom w:val="0"/>
      <w:divBdr>
        <w:top w:val="none" w:sz="0" w:space="0" w:color="auto"/>
        <w:left w:val="none" w:sz="0" w:space="0" w:color="auto"/>
        <w:bottom w:val="none" w:sz="0" w:space="0" w:color="auto"/>
        <w:right w:val="none" w:sz="0" w:space="0" w:color="auto"/>
      </w:divBdr>
    </w:div>
    <w:div w:id="1717319486">
      <w:bodyDiv w:val="1"/>
      <w:marLeft w:val="0"/>
      <w:marRight w:val="0"/>
      <w:marTop w:val="0"/>
      <w:marBottom w:val="0"/>
      <w:divBdr>
        <w:top w:val="none" w:sz="0" w:space="0" w:color="auto"/>
        <w:left w:val="none" w:sz="0" w:space="0" w:color="auto"/>
        <w:bottom w:val="none" w:sz="0" w:space="0" w:color="auto"/>
        <w:right w:val="none" w:sz="0" w:space="0" w:color="auto"/>
      </w:divBdr>
    </w:div>
    <w:div w:id="1884170033">
      <w:bodyDiv w:val="1"/>
      <w:marLeft w:val="0"/>
      <w:marRight w:val="0"/>
      <w:marTop w:val="0"/>
      <w:marBottom w:val="0"/>
      <w:divBdr>
        <w:top w:val="none" w:sz="0" w:space="0" w:color="auto"/>
        <w:left w:val="none" w:sz="0" w:space="0" w:color="auto"/>
        <w:bottom w:val="none" w:sz="0" w:space="0" w:color="auto"/>
        <w:right w:val="none" w:sz="0" w:space="0" w:color="auto"/>
      </w:divBdr>
      <w:divsChild>
        <w:div w:id="1826699394">
          <w:marLeft w:val="0"/>
          <w:marRight w:val="0"/>
          <w:marTop w:val="0"/>
          <w:marBottom w:val="0"/>
          <w:divBdr>
            <w:top w:val="none" w:sz="0" w:space="0" w:color="auto"/>
            <w:left w:val="none" w:sz="0" w:space="0" w:color="auto"/>
            <w:bottom w:val="none" w:sz="0" w:space="0" w:color="auto"/>
            <w:right w:val="none" w:sz="0" w:space="0" w:color="auto"/>
          </w:divBdr>
        </w:div>
      </w:divsChild>
    </w:div>
    <w:div w:id="1940023644">
      <w:bodyDiv w:val="1"/>
      <w:marLeft w:val="0"/>
      <w:marRight w:val="0"/>
      <w:marTop w:val="0"/>
      <w:marBottom w:val="0"/>
      <w:divBdr>
        <w:top w:val="none" w:sz="0" w:space="0" w:color="auto"/>
        <w:left w:val="none" w:sz="0" w:space="0" w:color="auto"/>
        <w:bottom w:val="none" w:sz="0" w:space="0" w:color="auto"/>
        <w:right w:val="none" w:sz="0" w:space="0" w:color="auto"/>
      </w:divBdr>
    </w:div>
    <w:div w:id="1948611109">
      <w:bodyDiv w:val="1"/>
      <w:marLeft w:val="0"/>
      <w:marRight w:val="0"/>
      <w:marTop w:val="0"/>
      <w:marBottom w:val="0"/>
      <w:divBdr>
        <w:top w:val="none" w:sz="0" w:space="0" w:color="auto"/>
        <w:left w:val="none" w:sz="0" w:space="0" w:color="auto"/>
        <w:bottom w:val="none" w:sz="0" w:space="0" w:color="auto"/>
        <w:right w:val="none" w:sz="0" w:space="0" w:color="auto"/>
      </w:divBdr>
    </w:div>
    <w:div w:id="2045475793">
      <w:bodyDiv w:val="1"/>
      <w:marLeft w:val="0"/>
      <w:marRight w:val="0"/>
      <w:marTop w:val="0"/>
      <w:marBottom w:val="0"/>
      <w:divBdr>
        <w:top w:val="none" w:sz="0" w:space="0" w:color="auto"/>
        <w:left w:val="none" w:sz="0" w:space="0" w:color="auto"/>
        <w:bottom w:val="none" w:sz="0" w:space="0" w:color="auto"/>
        <w:right w:val="none" w:sz="0" w:space="0" w:color="auto"/>
      </w:divBdr>
    </w:div>
    <w:div w:id="2046786929">
      <w:bodyDiv w:val="1"/>
      <w:marLeft w:val="0"/>
      <w:marRight w:val="0"/>
      <w:marTop w:val="0"/>
      <w:marBottom w:val="0"/>
      <w:divBdr>
        <w:top w:val="none" w:sz="0" w:space="0" w:color="auto"/>
        <w:left w:val="none" w:sz="0" w:space="0" w:color="auto"/>
        <w:bottom w:val="none" w:sz="0" w:space="0" w:color="auto"/>
        <w:right w:val="none" w:sz="0" w:space="0" w:color="auto"/>
      </w:divBdr>
    </w:div>
    <w:div w:id="208872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inicaltrials.gov/show/NCT04756531" TargetMode="External"/><Relationship Id="rId18" Type="http://schemas.openxmlformats.org/officeDocument/2006/relationships/hyperlink" Target="https://clinicaltrials.gov/show/NCT05064800" TargetMode="External"/><Relationship Id="rId26" Type="http://schemas.openxmlformats.org/officeDocument/2006/relationships/hyperlink" Target="https://clinicaltrials.gov/ct2/show/NCT04962022?term=PF-07321332&amp;draw=2&amp;rank=5" TargetMode="External"/><Relationship Id="rId39" Type="http://schemas.openxmlformats.org/officeDocument/2006/relationships/hyperlink" Target="https://doi.org/10.3906/sag-2106-250" TargetMode="External"/><Relationship Id="rId21" Type="http://schemas.openxmlformats.org/officeDocument/2006/relationships/hyperlink" Target="https://clinicaltrials.gov/ct2/show/NCT04909853" TargetMode="External"/><Relationship Id="rId34" Type="http://schemas.openxmlformats.org/officeDocument/2006/relationships/hyperlink" Target="https://www.fda.gov/news-events/press-announcements/fda-approves-first-treatment-covid-19" TargetMode="External"/><Relationship Id="rId42" Type="http://schemas.openxmlformats.org/officeDocument/2006/relationships/hyperlink" Target="https://www.pfizer.com/news/press-release/press-release-detail/pfizer-seeks-emergency-use-authorization-novel-covid-19" TargetMode="External"/><Relationship Id="rId47" Type="http://schemas.openxmlformats.org/officeDocument/2006/relationships/hyperlink" Target="https://publichealth.jhu.edu/2021/antivirals-and-the-covid-treatment-landscape"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clinicaltrials.gov/show/NCT05011513" TargetMode="External"/><Relationship Id="rId29" Type="http://schemas.openxmlformats.org/officeDocument/2006/relationships/hyperlink" Target="https://clinicaltrials.gov/ct2/show/NCT05032950?term=PF-07321332&amp;draw=2&amp;rank=8" TargetMode="External"/><Relationship Id="rId11" Type="http://schemas.openxmlformats.org/officeDocument/2006/relationships/image" Target="media/image4.png"/><Relationship Id="rId24" Type="http://schemas.openxmlformats.org/officeDocument/2006/relationships/hyperlink" Target="https://clinicaltrials.gov/ct2/show/NCT05064800" TargetMode="External"/><Relationship Id="rId32" Type="http://schemas.openxmlformats.org/officeDocument/2006/relationships/hyperlink" Target="https://clinicaltrials.gov/ct2/show/NCT04756531" TargetMode="External"/><Relationship Id="rId37" Type="http://schemas.openxmlformats.org/officeDocument/2006/relationships/hyperlink" Target="https://onlinelibrary.wiley.com/action/doSearch?ContribAuthorRaw=Yu%2C+Ting" TargetMode="External"/><Relationship Id="rId40" Type="http://schemas.openxmlformats.org/officeDocument/2006/relationships/hyperlink" Target="https://www.who.int/health-topics/coronavirus" TargetMode="External"/><Relationship Id="rId45" Type="http://schemas.openxmlformats.org/officeDocument/2006/relationships/hyperlink" Target="https://www.pfizer.com/news/press-release/press-release-detail/pfizers-novel-covid-19-oral-antiviral-treatment-candidate" TargetMode="External"/><Relationship Id="rId5" Type="http://schemas.openxmlformats.org/officeDocument/2006/relationships/webSettings" Target="webSettings.xml"/><Relationship Id="rId15" Type="http://schemas.openxmlformats.org/officeDocument/2006/relationships/hyperlink" Target="https://clinicaltrials.gov/show/NCT04909853" TargetMode="External"/><Relationship Id="rId23" Type="http://schemas.openxmlformats.org/officeDocument/2006/relationships/hyperlink" Target="https://clinicaltrials.gov/ct2/show/NCT05064800?term=PF-07321332&amp;draw=2&amp;rank=3" TargetMode="External"/><Relationship Id="rId28" Type="http://schemas.openxmlformats.org/officeDocument/2006/relationships/hyperlink" Target="https://clinicaltrials.gov/ct2/show/NCT05011513?term=PF-07321332&amp;draw=2&amp;rank=7" TargetMode="External"/><Relationship Id="rId36" Type="http://schemas.openxmlformats.org/officeDocument/2006/relationships/hyperlink" Target="https://www.merck.com/news/merck-and-ridgebacks-investigational-oral-antiviral-molnupiravir-reduced-the-risk-of-hospitalization-or-death-by-approximately-50-percent-compared-to-placebo-for-patients-with-mild-or-moderat/" TargetMode="External"/><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doi.org/10.1101/2021.11.04.467077" TargetMode="External"/><Relationship Id="rId31" Type="http://schemas.openxmlformats.org/officeDocument/2006/relationships/hyperlink" Target="https://clinicaltrials.gov/ct2/show/NCT04756531?term=PF-07321332&amp;draw=2&amp;rank=10" TargetMode="External"/><Relationship Id="rId44" Type="http://schemas.openxmlformats.org/officeDocument/2006/relationships/hyperlink" Target="https://www.pfizer.com/news/press-release/press-release-detail/pfizers-novel-covid-19-oral-antiviral-treatment-candidat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linicaltrials.gov/show/NCT04962230" TargetMode="External"/><Relationship Id="rId22" Type="http://schemas.openxmlformats.org/officeDocument/2006/relationships/hyperlink" Target="https://clinicaltrials.gov/ct2/show/NCT04962230?term=PF-07321332&amp;draw=2&amp;rank=2" TargetMode="External"/><Relationship Id="rId27" Type="http://schemas.openxmlformats.org/officeDocument/2006/relationships/hyperlink" Target="https://clinicaltrials.gov/ct2/show/NCT05005312?term=PF-07321332&amp;draw=2&amp;rank=6" TargetMode="External"/><Relationship Id="rId30" Type="http://schemas.openxmlformats.org/officeDocument/2006/relationships/hyperlink" Target="https://clinicaltrials.gov/ct2/show/NCT05047601?term=PF-07321332&amp;draw=2&amp;rank=9" TargetMode="External"/><Relationship Id="rId35" Type="http://schemas.openxmlformats.org/officeDocument/2006/relationships/hyperlink" Target="https://doi.org/10.1101/2021.11.10.21266139" TargetMode="External"/><Relationship Id="rId43" Type="http://schemas.openxmlformats.org/officeDocument/2006/relationships/hyperlink" Target="https://www.pfizer.com/news/press-release/press-release-detail/pfizer-starts-global-phase-23-epic-pep-study-novel-covid-19"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clinicaltrials.gov/show/NCT04756531" TargetMode="External"/><Relationship Id="rId17" Type="http://schemas.openxmlformats.org/officeDocument/2006/relationships/hyperlink" Target="https://clinicaltrials.gov/show/NCT05005312" TargetMode="External"/><Relationship Id="rId25" Type="http://schemas.openxmlformats.org/officeDocument/2006/relationships/hyperlink" Target="file:///D:\BV%20T&#226;m%20Tr&#237;\H&#7897;i%20ngh&#7883;%20KH%20K&#7929;%20Thu&#7853;t%20-2021\B&#224;i%20g&#7917;i\A%20Study%20of&#160;PF-07321332\Ritonavir%20in%20Nonhospitalized%20High%20Risk%20Adult%20Participants%20With%20COVID-19" TargetMode="External"/><Relationship Id="rId33" Type="http://schemas.openxmlformats.org/officeDocument/2006/relationships/hyperlink" Target="https://go.drugbank.com/drugs" TargetMode="External"/><Relationship Id="rId38" Type="http://schemas.openxmlformats.org/officeDocument/2006/relationships/hyperlink" Target="https://doi.org/10.1002/jmv.26129" TargetMode="External"/><Relationship Id="rId46" Type="http://schemas.openxmlformats.org/officeDocument/2006/relationships/hyperlink" Target="https://doi.org/10.1101/2021.07.28.21261232" TargetMode="External"/><Relationship Id="rId20" Type="http://schemas.openxmlformats.org/officeDocument/2006/relationships/hyperlink" Target="https://clinicaltrials.gov/ct2/show/NCT04909853?term=PF-07321332&amp;draw=2&amp;rank=1" TargetMode="External"/><Relationship Id="rId41" Type="http://schemas.openxmlformats.org/officeDocument/2006/relationships/hyperlink" Target="https://www.pfizer.com/news/press-release/press-release-detail/pfizer-provide-us-government-10-million-treatment-courses"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5682</Words>
  <Characters>32390</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2021-11-27T06:05:00Z</dcterms:created>
  <dcterms:modified xsi:type="dcterms:W3CDTF">2021-11-27T06:22:00Z</dcterms:modified>
</cp:coreProperties>
</file>